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A098C" w14:textId="77777777" w:rsidR="00DF48EF" w:rsidRDefault="00DF48EF" w:rsidP="00DF48EF">
      <w:pPr>
        <w:jc w:val="center"/>
        <w:rPr>
          <w:b/>
        </w:rPr>
      </w:pPr>
      <w:r>
        <w:rPr>
          <w:b/>
        </w:rPr>
        <w:t>UNITED STATES DISTRICT COURT</w:t>
      </w:r>
    </w:p>
    <w:p w14:paraId="44CD30ED" w14:textId="77777777" w:rsidR="00DF48EF" w:rsidRDefault="00DF48EF" w:rsidP="00DF48EF">
      <w:pPr>
        <w:jc w:val="center"/>
        <w:rPr>
          <w:b/>
        </w:rPr>
      </w:pPr>
      <w:r>
        <w:rPr>
          <w:b/>
        </w:rPr>
        <w:t>DISTRICT OF MOOT</w:t>
      </w:r>
    </w:p>
    <w:p w14:paraId="0EDAD19D" w14:textId="77777777" w:rsidR="00DF48EF" w:rsidRDefault="00DF48EF" w:rsidP="00DF48EF">
      <w:pPr>
        <w:jc w:val="center"/>
        <w:rPr>
          <w:b/>
        </w:rPr>
      </w:pPr>
      <w:r>
        <w:rPr>
          <w:b/>
        </w:rPr>
        <w:t>THIRD DIVISION</w:t>
      </w:r>
    </w:p>
    <w:p w14:paraId="7BA81B85" w14:textId="77777777" w:rsidR="00DF48EF" w:rsidRDefault="00DF48EF" w:rsidP="00DF48EF">
      <w:pPr>
        <w:jc w:val="center"/>
        <w:rPr>
          <w:b/>
        </w:rPr>
      </w:pPr>
    </w:p>
    <w:tbl>
      <w:tblPr>
        <w:tblW w:w="0" w:type="auto"/>
        <w:tblLayout w:type="fixed"/>
        <w:tblLook w:val="0000" w:firstRow="0" w:lastRow="0" w:firstColumn="0" w:lastColumn="0" w:noHBand="0" w:noVBand="0"/>
      </w:tblPr>
      <w:tblGrid>
        <w:gridCol w:w="4248"/>
        <w:gridCol w:w="4608"/>
      </w:tblGrid>
      <w:tr w:rsidR="00DF48EF" w14:paraId="6E6B5E42" w14:textId="77777777" w:rsidTr="00C33CBF">
        <w:tc>
          <w:tcPr>
            <w:tcW w:w="4248" w:type="dxa"/>
          </w:tcPr>
          <w:p w14:paraId="7B34B2F3" w14:textId="77777777" w:rsidR="00DF48EF" w:rsidRDefault="00DF48EF" w:rsidP="00C33CBF">
            <w:pPr>
              <w:pStyle w:val="Footer"/>
              <w:widowControl w:val="0"/>
              <w:tabs>
                <w:tab w:val="clear" w:pos="4320"/>
                <w:tab w:val="clear" w:pos="8640"/>
              </w:tabs>
              <w:rPr>
                <w:snapToGrid w:val="0"/>
              </w:rPr>
            </w:pPr>
            <w:r>
              <w:rPr>
                <w:snapToGrid w:val="0"/>
              </w:rPr>
              <w:t xml:space="preserve">OGS TV, Inc.,         </w:t>
            </w:r>
          </w:p>
          <w:p w14:paraId="2FC21B60" w14:textId="77777777" w:rsidR="00DF48EF" w:rsidRDefault="00DF48EF" w:rsidP="00C33CBF">
            <w:pPr>
              <w:pStyle w:val="Footer"/>
              <w:widowControl w:val="0"/>
              <w:tabs>
                <w:tab w:val="clear" w:pos="4320"/>
                <w:tab w:val="clear" w:pos="8640"/>
              </w:tabs>
              <w:rPr>
                <w:snapToGrid w:val="0"/>
              </w:rPr>
            </w:pPr>
            <w:r>
              <w:rPr>
                <w:snapToGrid w:val="0"/>
              </w:rPr>
              <w:t xml:space="preserve">                          Plaintiff,</w:t>
            </w:r>
          </w:p>
        </w:tc>
        <w:tc>
          <w:tcPr>
            <w:tcW w:w="4608" w:type="dxa"/>
          </w:tcPr>
          <w:p w14:paraId="44A0F888" w14:textId="77777777" w:rsidR="00DF48EF" w:rsidRDefault="00DF48EF" w:rsidP="00C33CBF">
            <w:pPr>
              <w:pStyle w:val="Footer"/>
              <w:widowControl w:val="0"/>
              <w:tabs>
                <w:tab w:val="clear" w:pos="4320"/>
                <w:tab w:val="clear" w:pos="8640"/>
              </w:tabs>
              <w:rPr>
                <w:snapToGrid w:val="0"/>
              </w:rPr>
            </w:pPr>
            <w:r>
              <w:rPr>
                <w:snapToGrid w:val="0"/>
              </w:rPr>
              <w:t xml:space="preserve">               Court File No. 27-CV-12-1234</w:t>
            </w:r>
          </w:p>
        </w:tc>
      </w:tr>
      <w:tr w:rsidR="00DF48EF" w14:paraId="2073B344" w14:textId="77777777" w:rsidTr="00C33CBF">
        <w:tc>
          <w:tcPr>
            <w:tcW w:w="4248" w:type="dxa"/>
          </w:tcPr>
          <w:p w14:paraId="280BF68D" w14:textId="77777777" w:rsidR="00DF48EF" w:rsidRDefault="00DF48EF" w:rsidP="00C33CBF">
            <w:pPr>
              <w:pStyle w:val="Footer"/>
              <w:widowControl w:val="0"/>
              <w:tabs>
                <w:tab w:val="clear" w:pos="4320"/>
                <w:tab w:val="clear" w:pos="8640"/>
              </w:tabs>
              <w:rPr>
                <w:snapToGrid w:val="0"/>
              </w:rPr>
            </w:pPr>
          </w:p>
          <w:p w14:paraId="6DFE3A57" w14:textId="77777777" w:rsidR="00DF48EF" w:rsidRDefault="00DF48EF" w:rsidP="00C33CBF">
            <w:pPr>
              <w:pStyle w:val="Footer"/>
              <w:widowControl w:val="0"/>
              <w:tabs>
                <w:tab w:val="clear" w:pos="4320"/>
                <w:tab w:val="clear" w:pos="8640"/>
              </w:tabs>
              <w:rPr>
                <w:snapToGrid w:val="0"/>
              </w:rPr>
            </w:pPr>
            <w:r>
              <w:rPr>
                <w:snapToGrid w:val="0"/>
              </w:rPr>
              <w:t>v.</w:t>
            </w:r>
          </w:p>
        </w:tc>
        <w:tc>
          <w:tcPr>
            <w:tcW w:w="4608" w:type="dxa"/>
          </w:tcPr>
          <w:p w14:paraId="4D110182" w14:textId="77777777" w:rsidR="00DF48EF" w:rsidRDefault="00DF48EF" w:rsidP="00C33CBF">
            <w:r>
              <w:t xml:space="preserve">               CERTIFICATE OF SERVICE</w:t>
            </w:r>
          </w:p>
        </w:tc>
      </w:tr>
      <w:tr w:rsidR="00DF48EF" w14:paraId="3E2E793F" w14:textId="77777777" w:rsidTr="00C33CBF">
        <w:tc>
          <w:tcPr>
            <w:tcW w:w="4248" w:type="dxa"/>
          </w:tcPr>
          <w:p w14:paraId="11B105C8" w14:textId="77777777" w:rsidR="00DF48EF" w:rsidRDefault="00DF48EF" w:rsidP="00C33CBF">
            <w:pPr>
              <w:pStyle w:val="Footer"/>
              <w:widowControl w:val="0"/>
              <w:tabs>
                <w:tab w:val="clear" w:pos="4320"/>
                <w:tab w:val="clear" w:pos="8640"/>
              </w:tabs>
              <w:rPr>
                <w:snapToGrid w:val="0"/>
              </w:rPr>
            </w:pPr>
          </w:p>
          <w:p w14:paraId="4F378779" w14:textId="77777777" w:rsidR="00DF48EF" w:rsidRDefault="00DF48EF" w:rsidP="00C33CBF">
            <w:pPr>
              <w:pStyle w:val="Footer"/>
              <w:widowControl w:val="0"/>
              <w:tabs>
                <w:tab w:val="clear" w:pos="4320"/>
                <w:tab w:val="clear" w:pos="8640"/>
              </w:tabs>
              <w:rPr>
                <w:snapToGrid w:val="0"/>
              </w:rPr>
            </w:pPr>
            <w:r>
              <w:rPr>
                <w:snapToGrid w:val="0"/>
              </w:rPr>
              <w:t>Elizabeth Lime and Tiny TV, Inc.,</w:t>
            </w:r>
          </w:p>
          <w:p w14:paraId="2055012E" w14:textId="77777777" w:rsidR="00DF48EF" w:rsidRDefault="00DF48EF" w:rsidP="00C33CBF">
            <w:pPr>
              <w:pStyle w:val="Footer"/>
              <w:widowControl w:val="0"/>
              <w:tabs>
                <w:tab w:val="clear" w:pos="4320"/>
                <w:tab w:val="clear" w:pos="8640"/>
              </w:tabs>
              <w:rPr>
                <w:snapToGrid w:val="0"/>
              </w:rPr>
            </w:pPr>
            <w:r>
              <w:rPr>
                <w:snapToGrid w:val="0"/>
              </w:rPr>
              <w:t xml:space="preserve">                        Defendants.</w:t>
            </w:r>
          </w:p>
        </w:tc>
        <w:tc>
          <w:tcPr>
            <w:tcW w:w="4608" w:type="dxa"/>
          </w:tcPr>
          <w:p w14:paraId="781AFB7A" w14:textId="77777777" w:rsidR="00DF48EF" w:rsidRDefault="00DF48EF" w:rsidP="00C33CBF"/>
        </w:tc>
      </w:tr>
    </w:tbl>
    <w:p w14:paraId="17EE3E88" w14:textId="77777777" w:rsidR="00DF48EF" w:rsidRDefault="00DF48EF" w:rsidP="00DF48EF"/>
    <w:p w14:paraId="29E19650" w14:textId="77777777" w:rsidR="00DF48EF" w:rsidRDefault="00DF48EF" w:rsidP="00DF48EF">
      <w:pPr>
        <w:pBdr>
          <w:bottom w:val="single" w:sz="12" w:space="1" w:color="auto"/>
        </w:pBdr>
        <w:spacing w:line="480" w:lineRule="auto"/>
        <w:jc w:val="center"/>
        <w:rPr>
          <w:b/>
        </w:rPr>
      </w:pPr>
    </w:p>
    <w:p w14:paraId="4E5049A9" w14:textId="77777777" w:rsidR="00DF48EF" w:rsidRDefault="00DF48EF" w:rsidP="00DF48EF">
      <w:pPr>
        <w:spacing w:line="480" w:lineRule="auto"/>
      </w:pPr>
    </w:p>
    <w:p w14:paraId="7926C6FC" w14:textId="77777777" w:rsidR="00DF48EF" w:rsidRPr="00B126C3" w:rsidRDefault="00DF48EF" w:rsidP="00DF48EF">
      <w:pPr>
        <w:rPr>
          <w:szCs w:val="24"/>
        </w:rPr>
      </w:pPr>
      <w:r w:rsidRPr="00B126C3">
        <w:rPr>
          <w:szCs w:val="24"/>
        </w:rPr>
        <w:t xml:space="preserve">I hereby certify that on </w:t>
      </w:r>
      <w:r w:rsidR="001C1795">
        <w:rPr>
          <w:szCs w:val="24"/>
        </w:rPr>
        <w:t>March 21, 2012</w:t>
      </w:r>
      <w:r w:rsidRPr="00B126C3">
        <w:rPr>
          <w:szCs w:val="24"/>
        </w:rPr>
        <w:t xml:space="preserve">, I </w:t>
      </w:r>
      <w:r>
        <w:rPr>
          <w:szCs w:val="24"/>
        </w:rPr>
        <w:t xml:space="preserve">hand-delivered </w:t>
      </w:r>
      <w:r w:rsidRPr="00B126C3">
        <w:rPr>
          <w:szCs w:val="24"/>
        </w:rPr>
        <w:t>the following documents:</w:t>
      </w:r>
    </w:p>
    <w:p w14:paraId="5FACB5A5" w14:textId="77777777" w:rsidR="00DF48EF" w:rsidRPr="00B126C3" w:rsidRDefault="00DF48EF" w:rsidP="00DF48EF">
      <w:pPr>
        <w:rPr>
          <w:szCs w:val="24"/>
        </w:rPr>
      </w:pPr>
    </w:p>
    <w:p w14:paraId="7FC15DC5" w14:textId="77777777" w:rsidR="00DF48EF" w:rsidRDefault="00DF48EF" w:rsidP="00DF48EF">
      <w:pPr>
        <w:rPr>
          <w:iCs/>
          <w:szCs w:val="24"/>
        </w:rPr>
      </w:pPr>
      <w:r w:rsidRPr="00B126C3">
        <w:rPr>
          <w:iCs/>
          <w:szCs w:val="24"/>
        </w:rPr>
        <w:tab/>
      </w:r>
      <w:r>
        <w:rPr>
          <w:iCs/>
          <w:szCs w:val="24"/>
        </w:rPr>
        <w:t>Notice of Motion</w:t>
      </w:r>
    </w:p>
    <w:p w14:paraId="38373ECF" w14:textId="77777777" w:rsidR="00DF48EF" w:rsidRDefault="00DF48EF" w:rsidP="00DF48EF">
      <w:pPr>
        <w:ind w:firstLine="720"/>
        <w:rPr>
          <w:iCs/>
          <w:szCs w:val="24"/>
        </w:rPr>
      </w:pPr>
      <w:r>
        <w:rPr>
          <w:iCs/>
          <w:szCs w:val="24"/>
        </w:rPr>
        <w:t>Motion</w:t>
      </w:r>
    </w:p>
    <w:p w14:paraId="3A7168EF" w14:textId="77777777" w:rsidR="00DF48EF" w:rsidRPr="00B126C3" w:rsidRDefault="00DF48EF" w:rsidP="00DF48EF">
      <w:pPr>
        <w:ind w:firstLine="720"/>
        <w:rPr>
          <w:iCs/>
          <w:szCs w:val="24"/>
        </w:rPr>
      </w:pPr>
      <w:r w:rsidRPr="00B126C3">
        <w:rPr>
          <w:iCs/>
          <w:szCs w:val="24"/>
        </w:rPr>
        <w:t xml:space="preserve">Memorandum in </w:t>
      </w:r>
      <w:r>
        <w:rPr>
          <w:iCs/>
          <w:szCs w:val="24"/>
        </w:rPr>
        <w:t>Opposition of Defendant’s Motion to Dismiss</w:t>
      </w:r>
    </w:p>
    <w:p w14:paraId="2BD37B95" w14:textId="77777777" w:rsidR="00DF48EF" w:rsidRPr="00B126C3" w:rsidRDefault="00DF48EF" w:rsidP="00DF48EF">
      <w:pPr>
        <w:rPr>
          <w:iCs/>
          <w:szCs w:val="24"/>
        </w:rPr>
      </w:pPr>
      <w:r w:rsidRPr="00B126C3">
        <w:rPr>
          <w:iCs/>
          <w:szCs w:val="24"/>
        </w:rPr>
        <w:tab/>
      </w:r>
      <w:r>
        <w:rPr>
          <w:iCs/>
          <w:szCs w:val="24"/>
        </w:rPr>
        <w:t>Proposed Order</w:t>
      </w:r>
    </w:p>
    <w:p w14:paraId="6B38C60A" w14:textId="77777777" w:rsidR="00DF48EF" w:rsidRPr="00B126C3" w:rsidRDefault="00DF48EF" w:rsidP="00DF48EF">
      <w:pPr>
        <w:rPr>
          <w:szCs w:val="24"/>
        </w:rPr>
      </w:pPr>
    </w:p>
    <w:p w14:paraId="7C124F56" w14:textId="77777777" w:rsidR="00DF48EF" w:rsidRPr="00B126C3" w:rsidRDefault="00DF48EF" w:rsidP="00DF48EF">
      <w:pPr>
        <w:rPr>
          <w:szCs w:val="24"/>
        </w:rPr>
      </w:pPr>
      <w:proofErr w:type="gramStart"/>
      <w:r>
        <w:rPr>
          <w:szCs w:val="24"/>
        </w:rPr>
        <w:t>with</w:t>
      </w:r>
      <w:proofErr w:type="gramEnd"/>
      <w:r>
        <w:rPr>
          <w:szCs w:val="24"/>
        </w:rPr>
        <w:t xml:space="preserve"> the Clerk of Court</w:t>
      </w:r>
    </w:p>
    <w:p w14:paraId="657A910C" w14:textId="77777777" w:rsidR="00DF48EF" w:rsidRPr="00B126C3" w:rsidRDefault="00DF48EF" w:rsidP="00DF48EF">
      <w:pPr>
        <w:tabs>
          <w:tab w:val="left" w:pos="1455"/>
        </w:tabs>
        <w:rPr>
          <w:szCs w:val="24"/>
        </w:rPr>
      </w:pPr>
      <w:r w:rsidRPr="00B126C3">
        <w:rPr>
          <w:szCs w:val="24"/>
        </w:rPr>
        <w:tab/>
      </w:r>
    </w:p>
    <w:p w14:paraId="2A1B6E79" w14:textId="77777777" w:rsidR="00DF48EF" w:rsidRPr="00B126C3" w:rsidRDefault="00DF48EF" w:rsidP="00DF48EF">
      <w:pPr>
        <w:rPr>
          <w:szCs w:val="24"/>
        </w:rPr>
      </w:pPr>
      <w:r w:rsidRPr="00B126C3">
        <w:rPr>
          <w:szCs w:val="24"/>
        </w:rPr>
        <w:t xml:space="preserve">I further certify that I </w:t>
      </w:r>
      <w:r>
        <w:rPr>
          <w:szCs w:val="24"/>
        </w:rPr>
        <w:t xml:space="preserve">hand-delivered </w:t>
      </w:r>
      <w:r w:rsidRPr="00B126C3">
        <w:rPr>
          <w:szCs w:val="24"/>
        </w:rPr>
        <w:t xml:space="preserve">a copy of the foregoing documents and the notice of electronic filing to be delivered to the following </w:t>
      </w:r>
      <w:r>
        <w:rPr>
          <w:szCs w:val="24"/>
        </w:rPr>
        <w:t>participant</w:t>
      </w:r>
      <w:r w:rsidRPr="00B126C3">
        <w:rPr>
          <w:szCs w:val="24"/>
        </w:rPr>
        <w:t>:</w:t>
      </w:r>
    </w:p>
    <w:p w14:paraId="7969EE1F" w14:textId="77777777" w:rsidR="00DF48EF" w:rsidRPr="00B126C3" w:rsidRDefault="00DF48EF" w:rsidP="00DF48EF">
      <w:pPr>
        <w:rPr>
          <w:szCs w:val="24"/>
        </w:rPr>
      </w:pPr>
    </w:p>
    <w:p w14:paraId="6FE1171E" w14:textId="77777777" w:rsidR="00DF48EF" w:rsidRPr="00B126C3" w:rsidRDefault="00DF48EF" w:rsidP="00DF48EF">
      <w:pPr>
        <w:rPr>
          <w:szCs w:val="24"/>
        </w:rPr>
      </w:pPr>
      <w:r w:rsidRPr="00B126C3">
        <w:rPr>
          <w:i/>
          <w:iCs/>
          <w:szCs w:val="24"/>
        </w:rPr>
        <w:tab/>
      </w:r>
      <w:r w:rsidR="002E6E38">
        <w:rPr>
          <w:szCs w:val="24"/>
        </w:rPr>
        <w:t>&lt;</w:t>
      </w:r>
      <w:proofErr w:type="gramStart"/>
      <w:r w:rsidR="002E6E38">
        <w:rPr>
          <w:szCs w:val="24"/>
        </w:rPr>
        <w:t>redacted</w:t>
      </w:r>
      <w:proofErr w:type="gramEnd"/>
      <w:r w:rsidR="002E6E38">
        <w:rPr>
          <w:szCs w:val="24"/>
        </w:rPr>
        <w:t>&gt;&lt;/redacted&gt;</w:t>
      </w:r>
    </w:p>
    <w:p w14:paraId="2940BD7B" w14:textId="77777777" w:rsidR="00DF48EF" w:rsidRDefault="00DF48EF" w:rsidP="00DF48EF">
      <w:pPr>
        <w:spacing w:line="276" w:lineRule="auto"/>
      </w:pPr>
    </w:p>
    <w:p w14:paraId="33B1DA98" w14:textId="77777777" w:rsidR="00DF48EF" w:rsidRDefault="001C1795" w:rsidP="00DF48EF">
      <w:pPr>
        <w:spacing w:line="276" w:lineRule="auto"/>
      </w:pPr>
      <w:r>
        <w:t>Date: March 21</w:t>
      </w:r>
      <w:r w:rsidR="00DF48EF">
        <w:t>, 2012</w:t>
      </w:r>
      <w:r w:rsidR="00DF48EF">
        <w:tab/>
      </w:r>
      <w:r w:rsidR="00DF48EF">
        <w:tab/>
      </w:r>
      <w:r w:rsidR="00DF48EF">
        <w:tab/>
      </w:r>
      <w:r w:rsidR="00DF48EF">
        <w:tab/>
      </w:r>
      <w:r w:rsidR="00DF48EF">
        <w:tab/>
      </w:r>
    </w:p>
    <w:p w14:paraId="491BDAED" w14:textId="77777777" w:rsidR="00DF48EF" w:rsidRDefault="00DF48EF" w:rsidP="00DF48EF">
      <w:pPr>
        <w:spacing w:line="276" w:lineRule="auto"/>
      </w:pPr>
    </w:p>
    <w:p w14:paraId="4CAA8A8B" w14:textId="77777777" w:rsidR="00DF48EF" w:rsidRDefault="00DF48EF" w:rsidP="00DF48EF">
      <w:pPr>
        <w:spacing w:line="276" w:lineRule="auto"/>
      </w:pPr>
    </w:p>
    <w:p w14:paraId="4591C52C" w14:textId="77777777" w:rsidR="00DF48EF" w:rsidRDefault="00DF48EF" w:rsidP="002E6E38">
      <w:pPr>
        <w:spacing w:line="276" w:lineRule="auto"/>
        <w:ind w:left="5760"/>
      </w:pPr>
      <w:r>
        <w:t>______________________________</w:t>
      </w:r>
      <w:r>
        <w:br/>
      </w:r>
      <w:r w:rsidR="002E6E38">
        <w:rPr>
          <w:szCs w:val="24"/>
        </w:rPr>
        <w:t>&lt;</w:t>
      </w:r>
      <w:proofErr w:type="gramStart"/>
      <w:r w:rsidR="002E6E38">
        <w:rPr>
          <w:szCs w:val="24"/>
        </w:rPr>
        <w:t>redacted</w:t>
      </w:r>
      <w:proofErr w:type="gramEnd"/>
      <w:r w:rsidR="002E6E38">
        <w:rPr>
          <w:szCs w:val="24"/>
        </w:rPr>
        <w:t>&gt;&lt;/redacted&gt;</w:t>
      </w:r>
    </w:p>
    <w:p w14:paraId="0445F830" w14:textId="77777777" w:rsidR="00DF48EF" w:rsidRDefault="00DF48EF" w:rsidP="00DF48EF">
      <w:pPr>
        <w:spacing w:line="276" w:lineRule="auto"/>
      </w:pPr>
    </w:p>
    <w:p w14:paraId="0B4EFCB1" w14:textId="77777777" w:rsidR="00DF48EF" w:rsidRPr="00CC6BF4" w:rsidRDefault="00DF48EF" w:rsidP="00DF48EF">
      <w:pPr>
        <w:spacing w:line="276" w:lineRule="auto"/>
        <w:rPr>
          <w:i/>
        </w:rPr>
      </w:pPr>
      <w:r>
        <w:tab/>
      </w:r>
      <w:r>
        <w:tab/>
      </w:r>
      <w:r>
        <w:tab/>
      </w:r>
      <w:r>
        <w:tab/>
      </w:r>
      <w:r>
        <w:tab/>
      </w:r>
      <w:r>
        <w:tab/>
      </w:r>
      <w:r>
        <w:tab/>
      </w:r>
      <w:r>
        <w:tab/>
      </w:r>
      <w:r>
        <w:rPr>
          <w:i/>
        </w:rPr>
        <w:t>Attorney for Plaintiff</w:t>
      </w:r>
    </w:p>
    <w:p w14:paraId="7040CF11" w14:textId="77777777" w:rsidR="00DF48EF" w:rsidRDefault="00DF48EF">
      <w:pPr>
        <w:widowControl/>
        <w:spacing w:after="200" w:line="276" w:lineRule="auto"/>
        <w:rPr>
          <w:b/>
        </w:rPr>
      </w:pPr>
      <w:r>
        <w:rPr>
          <w:b/>
        </w:rPr>
        <w:br w:type="page"/>
      </w:r>
    </w:p>
    <w:p w14:paraId="0154A4EF" w14:textId="77777777" w:rsidR="001C0D97" w:rsidRDefault="001C0D97" w:rsidP="001C0D97">
      <w:pPr>
        <w:jc w:val="center"/>
        <w:rPr>
          <w:b/>
        </w:rPr>
      </w:pPr>
      <w:r>
        <w:rPr>
          <w:b/>
        </w:rPr>
        <w:lastRenderedPageBreak/>
        <w:t>UNITED STATES DISTRICT COURT</w:t>
      </w:r>
    </w:p>
    <w:p w14:paraId="27480BB7" w14:textId="77777777" w:rsidR="001C0D97" w:rsidRDefault="001C0D97" w:rsidP="001C0D97">
      <w:pPr>
        <w:jc w:val="center"/>
        <w:rPr>
          <w:b/>
        </w:rPr>
      </w:pPr>
      <w:r>
        <w:rPr>
          <w:b/>
        </w:rPr>
        <w:t>DISTRICT OF MOOT</w:t>
      </w:r>
    </w:p>
    <w:p w14:paraId="11F62960" w14:textId="77777777" w:rsidR="001C0D97" w:rsidRDefault="001C0D97" w:rsidP="001C0D97">
      <w:pPr>
        <w:jc w:val="center"/>
        <w:rPr>
          <w:b/>
        </w:rPr>
      </w:pPr>
      <w:r>
        <w:rPr>
          <w:b/>
        </w:rPr>
        <w:t>THIRD DIVISION</w:t>
      </w:r>
    </w:p>
    <w:p w14:paraId="2B9E0834" w14:textId="77777777" w:rsidR="001C0D97" w:rsidRDefault="001C0D97" w:rsidP="001C0D97">
      <w:pPr>
        <w:jc w:val="center"/>
        <w:rPr>
          <w:b/>
        </w:rPr>
      </w:pPr>
    </w:p>
    <w:tbl>
      <w:tblPr>
        <w:tblW w:w="0" w:type="auto"/>
        <w:tblLayout w:type="fixed"/>
        <w:tblLook w:val="0000" w:firstRow="0" w:lastRow="0" w:firstColumn="0" w:lastColumn="0" w:noHBand="0" w:noVBand="0"/>
      </w:tblPr>
      <w:tblGrid>
        <w:gridCol w:w="4428"/>
        <w:gridCol w:w="4428"/>
      </w:tblGrid>
      <w:tr w:rsidR="001C0D97" w14:paraId="457170E4" w14:textId="77777777" w:rsidTr="003C06D9">
        <w:tc>
          <w:tcPr>
            <w:tcW w:w="4428" w:type="dxa"/>
          </w:tcPr>
          <w:p w14:paraId="68AD7730" w14:textId="77777777" w:rsidR="001C0D97" w:rsidRDefault="001C0D97" w:rsidP="003C06D9">
            <w:pPr>
              <w:pStyle w:val="Footer"/>
              <w:widowControl w:val="0"/>
              <w:tabs>
                <w:tab w:val="clear" w:pos="4320"/>
                <w:tab w:val="clear" w:pos="8640"/>
              </w:tabs>
              <w:rPr>
                <w:snapToGrid w:val="0"/>
              </w:rPr>
            </w:pPr>
            <w:r>
              <w:rPr>
                <w:snapToGrid w:val="0"/>
              </w:rPr>
              <w:t xml:space="preserve">OGS TV, Inc.,         </w:t>
            </w:r>
          </w:p>
          <w:p w14:paraId="61C248C9" w14:textId="77777777" w:rsidR="001C0D97" w:rsidRDefault="001C0D97" w:rsidP="003C06D9">
            <w:pPr>
              <w:pStyle w:val="Footer"/>
              <w:widowControl w:val="0"/>
              <w:tabs>
                <w:tab w:val="clear" w:pos="4320"/>
                <w:tab w:val="clear" w:pos="8640"/>
              </w:tabs>
              <w:rPr>
                <w:snapToGrid w:val="0"/>
              </w:rPr>
            </w:pPr>
            <w:r>
              <w:rPr>
                <w:snapToGrid w:val="0"/>
              </w:rPr>
              <w:t xml:space="preserve">                          Plaintiff,</w:t>
            </w:r>
          </w:p>
        </w:tc>
        <w:tc>
          <w:tcPr>
            <w:tcW w:w="4428" w:type="dxa"/>
          </w:tcPr>
          <w:p w14:paraId="756F2F2B" w14:textId="77777777" w:rsidR="001C0D97" w:rsidRDefault="001C0D97" w:rsidP="001C0D97">
            <w:pPr>
              <w:pStyle w:val="Footer"/>
              <w:widowControl w:val="0"/>
              <w:tabs>
                <w:tab w:val="clear" w:pos="4320"/>
                <w:tab w:val="clear" w:pos="8640"/>
              </w:tabs>
              <w:rPr>
                <w:snapToGrid w:val="0"/>
              </w:rPr>
            </w:pPr>
            <w:r>
              <w:rPr>
                <w:snapToGrid w:val="0"/>
              </w:rPr>
              <w:t xml:space="preserve">               Court File No. 27-CV-12-1234</w:t>
            </w:r>
          </w:p>
        </w:tc>
      </w:tr>
      <w:tr w:rsidR="001C0D97" w14:paraId="2BC8329A" w14:textId="77777777" w:rsidTr="003C06D9">
        <w:tc>
          <w:tcPr>
            <w:tcW w:w="4428" w:type="dxa"/>
          </w:tcPr>
          <w:p w14:paraId="2C04C6CD" w14:textId="77777777" w:rsidR="001C0D97" w:rsidRDefault="001C0D97" w:rsidP="003C06D9">
            <w:pPr>
              <w:pStyle w:val="Footer"/>
              <w:widowControl w:val="0"/>
              <w:tabs>
                <w:tab w:val="clear" w:pos="4320"/>
                <w:tab w:val="clear" w:pos="8640"/>
              </w:tabs>
              <w:rPr>
                <w:snapToGrid w:val="0"/>
              </w:rPr>
            </w:pPr>
          </w:p>
          <w:p w14:paraId="4E4B767F" w14:textId="77777777" w:rsidR="001C0D97" w:rsidRDefault="001C0D97" w:rsidP="003C06D9">
            <w:pPr>
              <w:pStyle w:val="Footer"/>
              <w:widowControl w:val="0"/>
              <w:tabs>
                <w:tab w:val="clear" w:pos="4320"/>
                <w:tab w:val="clear" w:pos="8640"/>
              </w:tabs>
              <w:rPr>
                <w:snapToGrid w:val="0"/>
              </w:rPr>
            </w:pPr>
            <w:r>
              <w:rPr>
                <w:snapToGrid w:val="0"/>
              </w:rPr>
              <w:t>v.</w:t>
            </w:r>
          </w:p>
        </w:tc>
        <w:tc>
          <w:tcPr>
            <w:tcW w:w="4428" w:type="dxa"/>
          </w:tcPr>
          <w:p w14:paraId="400DBFAD" w14:textId="77777777" w:rsidR="001C0D97" w:rsidRDefault="001C0D97" w:rsidP="003C06D9">
            <w:pPr>
              <w:pStyle w:val="Footer"/>
              <w:widowControl w:val="0"/>
              <w:tabs>
                <w:tab w:val="clear" w:pos="4320"/>
                <w:tab w:val="clear" w:pos="8640"/>
              </w:tabs>
              <w:rPr>
                <w:snapToGrid w:val="0"/>
              </w:rPr>
            </w:pPr>
            <w:r>
              <w:rPr>
                <w:snapToGrid w:val="0"/>
              </w:rPr>
              <w:t xml:space="preserve">               PLAINTIFF’S MEMORANDUM</w:t>
            </w:r>
          </w:p>
          <w:p w14:paraId="6A7F2C02" w14:textId="77777777" w:rsidR="001C0D97" w:rsidRDefault="001C0D97" w:rsidP="001C0D97">
            <w:r>
              <w:t xml:space="preserve">               IN RESPONSE TO</w:t>
            </w:r>
          </w:p>
        </w:tc>
      </w:tr>
      <w:tr w:rsidR="001C0D97" w14:paraId="34105F39" w14:textId="77777777" w:rsidTr="003C06D9">
        <w:tc>
          <w:tcPr>
            <w:tcW w:w="4428" w:type="dxa"/>
          </w:tcPr>
          <w:p w14:paraId="3A4A0AAC" w14:textId="77777777" w:rsidR="001C0D97" w:rsidRDefault="001C0D97" w:rsidP="003C06D9">
            <w:pPr>
              <w:pStyle w:val="Footer"/>
              <w:widowControl w:val="0"/>
              <w:tabs>
                <w:tab w:val="clear" w:pos="4320"/>
                <w:tab w:val="clear" w:pos="8640"/>
              </w:tabs>
              <w:rPr>
                <w:snapToGrid w:val="0"/>
              </w:rPr>
            </w:pPr>
          </w:p>
          <w:p w14:paraId="45884253" w14:textId="77777777" w:rsidR="001C0D97" w:rsidRDefault="001C0D97" w:rsidP="003C06D9">
            <w:pPr>
              <w:pStyle w:val="Footer"/>
              <w:widowControl w:val="0"/>
              <w:tabs>
                <w:tab w:val="clear" w:pos="4320"/>
                <w:tab w:val="clear" w:pos="8640"/>
              </w:tabs>
              <w:rPr>
                <w:snapToGrid w:val="0"/>
              </w:rPr>
            </w:pPr>
            <w:r>
              <w:rPr>
                <w:snapToGrid w:val="0"/>
              </w:rPr>
              <w:t>Elizabeth Lime and Tiny TV, Inc.,</w:t>
            </w:r>
          </w:p>
          <w:p w14:paraId="17653BD4" w14:textId="77777777" w:rsidR="001C0D97" w:rsidRDefault="001C0D97" w:rsidP="003C06D9">
            <w:pPr>
              <w:pStyle w:val="Footer"/>
              <w:widowControl w:val="0"/>
              <w:tabs>
                <w:tab w:val="clear" w:pos="4320"/>
                <w:tab w:val="clear" w:pos="8640"/>
              </w:tabs>
              <w:rPr>
                <w:snapToGrid w:val="0"/>
              </w:rPr>
            </w:pPr>
            <w:r>
              <w:rPr>
                <w:snapToGrid w:val="0"/>
              </w:rPr>
              <w:t xml:space="preserve">                        Defendants.</w:t>
            </w:r>
          </w:p>
        </w:tc>
        <w:tc>
          <w:tcPr>
            <w:tcW w:w="4428" w:type="dxa"/>
          </w:tcPr>
          <w:p w14:paraId="21B4E70B" w14:textId="77777777" w:rsidR="001C0D97" w:rsidRDefault="001C0D97" w:rsidP="001C0D97">
            <w:r>
              <w:t xml:space="preserve">               COURT ORDER</w:t>
            </w:r>
          </w:p>
        </w:tc>
      </w:tr>
    </w:tbl>
    <w:p w14:paraId="7321D975" w14:textId="77777777" w:rsidR="006044CF" w:rsidRDefault="006044CF"/>
    <w:p w14:paraId="74A04FD7" w14:textId="77777777" w:rsidR="001C0D97" w:rsidRDefault="001C0D97" w:rsidP="001C0D97">
      <w:pPr>
        <w:spacing w:line="480" w:lineRule="auto"/>
        <w:jc w:val="center"/>
        <w:rPr>
          <w:b/>
        </w:rPr>
      </w:pPr>
    </w:p>
    <w:p w14:paraId="4523F280" w14:textId="77777777" w:rsidR="001C0D97" w:rsidRPr="007E02B1" w:rsidRDefault="001C0D97" w:rsidP="001C0D97">
      <w:pPr>
        <w:spacing w:line="480" w:lineRule="auto"/>
        <w:jc w:val="center"/>
        <w:rPr>
          <w:b/>
          <w:u w:val="single"/>
        </w:rPr>
      </w:pPr>
      <w:r w:rsidRPr="007E02B1">
        <w:rPr>
          <w:b/>
          <w:u w:val="single"/>
        </w:rPr>
        <w:t>INTRODUCTION</w:t>
      </w:r>
    </w:p>
    <w:p w14:paraId="0F1AFB09" w14:textId="77777777" w:rsidR="001C0D97" w:rsidRDefault="00175986" w:rsidP="001B1A60">
      <w:pPr>
        <w:spacing w:line="480" w:lineRule="auto"/>
        <w:ind w:firstLine="720"/>
      </w:pPr>
      <w:r>
        <w:t>The Plaintiff, OGS TV, Inc., submits this brief in opposition to Defendants’ motion to dismis</w:t>
      </w:r>
      <w:r w:rsidR="000D24FC">
        <w:t>s under Federal Rule of Civil</w:t>
      </w:r>
      <w:r>
        <w:t xml:space="preserve"> Procedure 12(c).  </w:t>
      </w:r>
      <w:r w:rsidR="00F732EF">
        <w:t>In this laws</w:t>
      </w:r>
      <w:r w:rsidR="00451E27">
        <w:t>uit, Plaintiff OGS TV, Inc., seeks</w:t>
      </w:r>
      <w:r w:rsidR="00F732EF">
        <w:t xml:space="preserve"> damages from Defendants Elizabeth Lime and Tiny TV, </w:t>
      </w:r>
      <w:proofErr w:type="spellStart"/>
      <w:r w:rsidR="00F732EF">
        <w:t>Inc</w:t>
      </w:r>
      <w:proofErr w:type="spellEnd"/>
      <w:r w:rsidR="00F732EF">
        <w:t xml:space="preserve">, for copyright infringement related to </w:t>
      </w:r>
      <w:r w:rsidR="00451E27">
        <w:t xml:space="preserve">the television series </w:t>
      </w:r>
      <w:r w:rsidR="00451E27">
        <w:rPr>
          <w:i/>
        </w:rPr>
        <w:t>The Tin Can</w:t>
      </w:r>
      <w:r w:rsidR="00451E27">
        <w:t>’s</w:t>
      </w:r>
      <w:r w:rsidR="00F732EF">
        <w:t xml:space="preserve"> pilot episode</w:t>
      </w:r>
      <w:r w:rsidR="00451E27">
        <w:t>, “The Love Below.”</w:t>
      </w:r>
      <w:r w:rsidR="00F732EF">
        <w:t xml:space="preserve">  The screenplay contains identical dialogue, characters, and storylines to the screenplay “Anticipatory Repudiation” written by Defendant Lime and commissioned by Plaintiff.</w:t>
      </w:r>
    </w:p>
    <w:p w14:paraId="191D3647" w14:textId="77777777" w:rsidR="00F732EF" w:rsidRDefault="00451E27" w:rsidP="001C0D97">
      <w:pPr>
        <w:spacing w:line="480" w:lineRule="auto"/>
      </w:pPr>
      <w:r>
        <w:tab/>
        <w:t>Defendant’s actions violate</w:t>
      </w:r>
      <w:r w:rsidR="00F732EF">
        <w:t xml:space="preserve"> the federal Copyright Act of 1976 for three reasons: (1) Defendant Lime orally agreed</w:t>
      </w:r>
      <w:r w:rsidR="000D24FC">
        <w:t>,</w:t>
      </w:r>
      <w:r w:rsidR="00F732EF">
        <w:t xml:space="preserve"> </w:t>
      </w:r>
      <w:r w:rsidR="000D24FC">
        <w:t xml:space="preserve">prior to beginning work on the screenplay, </w:t>
      </w:r>
      <w:r>
        <w:t>this was a work-for-hire situation and Plaintiff would be considered the author</w:t>
      </w:r>
      <w:r w:rsidR="00F732EF">
        <w:t xml:space="preserve">; (2) prior to receiving payment, the </w:t>
      </w:r>
      <w:r w:rsidR="00D02B3C">
        <w:t>Plaintiff</w:t>
      </w:r>
      <w:r w:rsidR="00F732EF">
        <w:t xml:space="preserve"> </w:t>
      </w:r>
      <w:r w:rsidR="00D02B3C">
        <w:t xml:space="preserve">committed the agreement to writing and Defendant </w:t>
      </w:r>
      <w:r w:rsidR="00F732EF">
        <w:t xml:space="preserve">signed a written “Work-Made-For-Hire Agreement” fulfilling the written agreement requirement of 17 U.S.C. 101(2); and (3) the relevant statute does not </w:t>
      </w:r>
      <w:r>
        <w:t>require</w:t>
      </w:r>
      <w:r w:rsidR="00F732EF">
        <w:t xml:space="preserve"> the written agreement </w:t>
      </w:r>
      <w:r>
        <w:t>be signed prior to beginning</w:t>
      </w:r>
      <w:r w:rsidR="00F732EF">
        <w:t xml:space="preserve"> work.</w:t>
      </w:r>
    </w:p>
    <w:p w14:paraId="10B80981" w14:textId="77777777" w:rsidR="00F732EF" w:rsidRPr="00F732EF" w:rsidRDefault="00F732EF" w:rsidP="001C0D97">
      <w:pPr>
        <w:spacing w:line="480" w:lineRule="auto"/>
      </w:pPr>
      <w:r>
        <w:tab/>
      </w:r>
      <w:proofErr w:type="gramStart"/>
      <w:r>
        <w:t>The Defendants’</w:t>
      </w:r>
      <w:r w:rsidR="00D02B3C">
        <w:t xml:space="preserve"> claim that Plaintiff owns no relevant copyright</w:t>
      </w:r>
      <w:proofErr w:type="gramEnd"/>
      <w:r w:rsidR="00D02B3C">
        <w:t xml:space="preserve"> cannot stand under the </w:t>
      </w:r>
      <w:r w:rsidR="00451E27">
        <w:t>f</w:t>
      </w:r>
      <w:r w:rsidR="00DE6B1E">
        <w:t>ederal Copyright Act, and the C</w:t>
      </w:r>
      <w:r w:rsidR="00D02B3C">
        <w:t xml:space="preserve">ourt </w:t>
      </w:r>
      <w:r w:rsidR="007F59B2">
        <w:t xml:space="preserve">should </w:t>
      </w:r>
      <w:r w:rsidR="00DE6B1E">
        <w:t>find that a work-made-</w:t>
      </w:r>
      <w:r w:rsidR="00D02B3C">
        <w:t>f</w:t>
      </w:r>
      <w:r w:rsidR="00DE6B1E">
        <w:t>or-</w:t>
      </w:r>
      <w:r w:rsidR="00D02B3C">
        <w:t>hire situation does not require a signed writing by both parties preceding creation of the work.</w:t>
      </w:r>
    </w:p>
    <w:p w14:paraId="7F5146D1" w14:textId="77777777" w:rsidR="001C0D97" w:rsidRPr="007E02B1" w:rsidRDefault="001C0D97" w:rsidP="001C0D97">
      <w:pPr>
        <w:spacing w:line="480" w:lineRule="auto"/>
        <w:jc w:val="center"/>
        <w:rPr>
          <w:b/>
          <w:u w:val="single"/>
        </w:rPr>
      </w:pPr>
      <w:r w:rsidRPr="007E02B1">
        <w:rPr>
          <w:b/>
          <w:u w:val="single"/>
        </w:rPr>
        <w:lastRenderedPageBreak/>
        <w:t>FACTUAL BACKGROUND</w:t>
      </w:r>
    </w:p>
    <w:p w14:paraId="6C16BF87" w14:textId="77777777" w:rsidR="00F40012" w:rsidRDefault="00C931AD" w:rsidP="00F40012">
      <w:pPr>
        <w:spacing w:line="480" w:lineRule="auto"/>
        <w:ind w:firstLine="720"/>
      </w:pPr>
      <w:r>
        <w:t xml:space="preserve">This case involves the following undisputed facts.  The </w:t>
      </w:r>
      <w:r w:rsidR="007F59B2">
        <w:t xml:space="preserve">Plaintiff is a television </w:t>
      </w:r>
      <w:proofErr w:type="gramStart"/>
      <w:r w:rsidR="007F59B2">
        <w:t>station</w:t>
      </w:r>
      <w:r>
        <w:t xml:space="preserve"> which</w:t>
      </w:r>
      <w:proofErr w:type="gramEnd"/>
      <w:r>
        <w:t xml:space="preserve"> created, produced, and aired the original television</w:t>
      </w:r>
      <w:r w:rsidR="00D64D21">
        <w:t xml:space="preserve"> series</w:t>
      </w:r>
      <w:r>
        <w:t xml:space="preserve"> </w:t>
      </w:r>
      <w:r>
        <w:rPr>
          <w:i/>
        </w:rPr>
        <w:t>Lawless Love</w:t>
      </w:r>
      <w:r>
        <w:t xml:space="preserve">. </w:t>
      </w:r>
      <w:proofErr w:type="spellStart"/>
      <w:r>
        <w:t>Compl</w:t>
      </w:r>
      <w:proofErr w:type="spellEnd"/>
      <w:r>
        <w:t xml:space="preserve">. </w:t>
      </w:r>
      <w:r>
        <w:rPr>
          <w:rFonts w:ascii="Calibri" w:hAnsi="Calibri" w:cs="Calibri"/>
        </w:rPr>
        <w:t xml:space="preserve">¶ </w:t>
      </w:r>
      <w:r>
        <w:t xml:space="preserve">5.  Prior to April 2, 2010, eight writers employed by Plaintiff completed screenplays for 39 episodes. </w:t>
      </w:r>
      <w:proofErr w:type="gramStart"/>
      <w:r w:rsidR="009F1013">
        <w:rPr>
          <w:i/>
        </w:rPr>
        <w:t xml:space="preserve">Id. </w:t>
      </w:r>
      <w:r>
        <w:rPr>
          <w:rFonts w:ascii="Calibri" w:hAnsi="Calibri" w:cs="Calibri"/>
        </w:rPr>
        <w:t>¶</w:t>
      </w:r>
      <w:r>
        <w:t xml:space="preserve"> 5.</w:t>
      </w:r>
      <w:proofErr w:type="gramEnd"/>
      <w:r w:rsidR="00F40012">
        <w:t xml:space="preserve">  As a result, Plaintiff is considered the author of every episode created prior to </w:t>
      </w:r>
      <w:proofErr w:type="gramStart"/>
      <w:r w:rsidR="00F40012">
        <w:t>April,</w:t>
      </w:r>
      <w:proofErr w:type="gramEnd"/>
      <w:r w:rsidR="00F40012">
        <w:t xml:space="preserve"> 2, 2010, according to the federa</w:t>
      </w:r>
      <w:r w:rsidR="009F1013">
        <w:t xml:space="preserve">l Copyright Act of 1976.  </w:t>
      </w:r>
      <w:proofErr w:type="gramStart"/>
      <w:r w:rsidR="009F1013">
        <w:rPr>
          <w:i/>
        </w:rPr>
        <w:t>Id.</w:t>
      </w:r>
      <w:r w:rsidR="007E252D">
        <w:t xml:space="preserve"> </w:t>
      </w:r>
      <w:r w:rsidR="00F40012">
        <w:rPr>
          <w:rFonts w:ascii="Calibri" w:hAnsi="Calibri" w:cs="Calibri"/>
        </w:rPr>
        <w:t>¶</w:t>
      </w:r>
      <w:r w:rsidR="00F40012">
        <w:t xml:space="preserve"> 8.</w:t>
      </w:r>
      <w:proofErr w:type="gramEnd"/>
    </w:p>
    <w:p w14:paraId="3FBE84C5" w14:textId="77777777" w:rsidR="004962EB" w:rsidRDefault="00F40012" w:rsidP="001C0D97">
      <w:pPr>
        <w:spacing w:line="480" w:lineRule="auto"/>
      </w:pPr>
      <w:r>
        <w:tab/>
        <w:t xml:space="preserve">On March 27, 2010, Dave Nelson, the executive producer of </w:t>
      </w:r>
      <w:r>
        <w:rPr>
          <w:i/>
        </w:rPr>
        <w:t>Lawless Love</w:t>
      </w:r>
      <w:r w:rsidR="009E69EE">
        <w:t>, met with</w:t>
      </w:r>
      <w:r>
        <w:t xml:space="preserve"> Defendant</w:t>
      </w:r>
      <w:r w:rsidR="007F59B2">
        <w:t xml:space="preserve"> Lime</w:t>
      </w:r>
      <w:r w:rsidR="009E69EE">
        <w:t>, a television writer with more than 15 years of experience</w:t>
      </w:r>
      <w:r>
        <w:t xml:space="preserve">.  </w:t>
      </w:r>
      <w:proofErr w:type="gramStart"/>
      <w:r w:rsidR="009F1013">
        <w:rPr>
          <w:i/>
        </w:rPr>
        <w:t>Id</w:t>
      </w:r>
      <w:r>
        <w:t>.</w:t>
      </w:r>
      <w:r w:rsidR="007E252D">
        <w:t xml:space="preserve"> </w:t>
      </w:r>
      <w:r>
        <w:rPr>
          <w:rFonts w:ascii="Calibri" w:hAnsi="Calibri" w:cs="Calibri"/>
        </w:rPr>
        <w:t>¶¶</w:t>
      </w:r>
      <w:r w:rsidR="009E69EE">
        <w:t xml:space="preserve"> 9-11</w:t>
      </w:r>
      <w:r>
        <w:t>.</w:t>
      </w:r>
      <w:proofErr w:type="gramEnd"/>
      <w:r>
        <w:t xml:space="preserve">  At the meeting, Nelson </w:t>
      </w:r>
      <w:r w:rsidR="004C1ED0">
        <w:t>commissioned</w:t>
      </w:r>
      <w:r>
        <w:t xml:space="preserve"> the Defendant to prepare a screenplay for </w:t>
      </w:r>
      <w:r>
        <w:rPr>
          <w:i/>
        </w:rPr>
        <w:t>Lawless Love</w:t>
      </w:r>
      <w:r w:rsidR="009F1013">
        <w:t xml:space="preserve">.  </w:t>
      </w:r>
      <w:proofErr w:type="gramStart"/>
      <w:r w:rsidR="009F1013">
        <w:rPr>
          <w:i/>
        </w:rPr>
        <w:t>Id.</w:t>
      </w:r>
      <w:r w:rsidR="007E252D">
        <w:t xml:space="preserve"> </w:t>
      </w:r>
      <w:r>
        <w:rPr>
          <w:rFonts w:ascii="Calibri" w:hAnsi="Calibri" w:cs="Calibri"/>
        </w:rPr>
        <w:t>¶</w:t>
      </w:r>
      <w:r>
        <w:t xml:space="preserve"> 9.</w:t>
      </w:r>
      <w:proofErr w:type="gramEnd"/>
      <w:r>
        <w:t xml:space="preserve">  This was the first time a screenplay for </w:t>
      </w:r>
      <w:r>
        <w:rPr>
          <w:i/>
        </w:rPr>
        <w:t>Lawless Love</w:t>
      </w:r>
      <w:r>
        <w:t xml:space="preserve"> was prepar</w:t>
      </w:r>
      <w:r w:rsidR="004C1ED0">
        <w:t>ed by someone who is not an</w:t>
      </w:r>
      <w:r w:rsidR="009F1013">
        <w:t xml:space="preserve"> employee of Plaintiff.  </w:t>
      </w:r>
      <w:r w:rsidR="009F1013">
        <w:rPr>
          <w:i/>
        </w:rPr>
        <w:t>Id</w:t>
      </w:r>
      <w:r>
        <w:t xml:space="preserve">.  </w:t>
      </w:r>
      <w:r w:rsidR="009E69EE">
        <w:t>At the meeting,</w:t>
      </w:r>
      <w:r w:rsidR="004962EB">
        <w:t xml:space="preserve"> Defendant agreed orally to prepare a screenplay for </w:t>
      </w:r>
      <w:r w:rsidR="004962EB">
        <w:rPr>
          <w:i/>
        </w:rPr>
        <w:t>Lawless Love</w:t>
      </w:r>
      <w:r w:rsidR="009F1013">
        <w:t xml:space="preserve"> by April 1, 2010.  </w:t>
      </w:r>
      <w:proofErr w:type="gramStart"/>
      <w:r w:rsidR="009F1013">
        <w:rPr>
          <w:i/>
        </w:rPr>
        <w:t>Id</w:t>
      </w:r>
      <w:r w:rsidR="004962EB">
        <w:t>.</w:t>
      </w:r>
      <w:r w:rsidR="007E252D">
        <w:t xml:space="preserve"> </w:t>
      </w:r>
      <w:r w:rsidR="004962EB">
        <w:rPr>
          <w:rFonts w:ascii="Calibri" w:hAnsi="Calibri" w:cs="Calibri"/>
        </w:rPr>
        <w:t>¶</w:t>
      </w:r>
      <w:r w:rsidR="004962EB">
        <w:t xml:space="preserve"> 13.</w:t>
      </w:r>
      <w:proofErr w:type="gramEnd"/>
      <w:r w:rsidR="004962EB">
        <w:t xml:space="preserve">  The Defendant’s work was commissione</w:t>
      </w:r>
      <w:r w:rsidR="009F1013">
        <w:t xml:space="preserve">d in exchange for $6,000. </w:t>
      </w:r>
      <w:proofErr w:type="gramStart"/>
      <w:r w:rsidR="009F1013">
        <w:rPr>
          <w:i/>
        </w:rPr>
        <w:t>Id</w:t>
      </w:r>
      <w:r w:rsidR="004962EB">
        <w:t>.</w:t>
      </w:r>
      <w:r w:rsidR="007E252D">
        <w:t xml:space="preserve"> </w:t>
      </w:r>
      <w:r w:rsidR="004962EB">
        <w:rPr>
          <w:rFonts w:ascii="Calibri" w:hAnsi="Calibri" w:cs="Calibri"/>
        </w:rPr>
        <w:t xml:space="preserve">¶ </w:t>
      </w:r>
      <w:r w:rsidR="004962EB">
        <w:t>15.</w:t>
      </w:r>
      <w:proofErr w:type="gramEnd"/>
      <w:r w:rsidR="004962EB">
        <w:t xml:space="preserve">  </w:t>
      </w:r>
    </w:p>
    <w:p w14:paraId="0AF8549C" w14:textId="77777777" w:rsidR="00F904DA" w:rsidRDefault="004962EB" w:rsidP="004962EB">
      <w:pPr>
        <w:spacing w:line="480" w:lineRule="auto"/>
        <w:ind w:firstLine="720"/>
      </w:pPr>
      <w:r>
        <w:t xml:space="preserve">To </w:t>
      </w:r>
      <w:r w:rsidR="00175986">
        <w:t>clarify</w:t>
      </w:r>
      <w:r>
        <w:t xml:space="preserve"> that Plaintiff would be considered the author of the screenplay,</w:t>
      </w:r>
      <w:r w:rsidR="00DE6B1E">
        <w:t xml:space="preserve"> Nelson said to the D</w:t>
      </w:r>
      <w:r w:rsidR="004C1ED0">
        <w:t>efendant during the meeting:</w:t>
      </w:r>
      <w:r>
        <w:t xml:space="preserve"> “Your work on the screenplay is for hire.  For all intents and purpos</w:t>
      </w:r>
      <w:r w:rsidR="009F1013">
        <w:t xml:space="preserve">es, we’ll be the </w:t>
      </w:r>
      <w:proofErr w:type="gramStart"/>
      <w:r w:rsidR="009F1013">
        <w:t>author</w:t>
      </w:r>
      <w:proofErr w:type="gramEnd"/>
      <w:r w:rsidR="009F1013">
        <w:t xml:space="preserve">.”  </w:t>
      </w:r>
      <w:proofErr w:type="gramStart"/>
      <w:r w:rsidR="009F1013">
        <w:rPr>
          <w:i/>
        </w:rPr>
        <w:t>Id</w:t>
      </w:r>
      <w:r>
        <w:t>.</w:t>
      </w:r>
      <w:r w:rsidR="007E252D">
        <w:t xml:space="preserve"> </w:t>
      </w:r>
      <w:r>
        <w:rPr>
          <w:rFonts w:ascii="Calibri" w:hAnsi="Calibri" w:cs="Calibri"/>
        </w:rPr>
        <w:t>¶</w:t>
      </w:r>
      <w:r>
        <w:t xml:space="preserve"> 16.</w:t>
      </w:r>
      <w:proofErr w:type="gramEnd"/>
      <w:r>
        <w:t xml:space="preserve">  To confirm that th</w:t>
      </w:r>
      <w:r w:rsidR="009E69EE">
        <w:t>ese terms were acceptable to</w:t>
      </w:r>
      <w:r>
        <w:t xml:space="preserve"> Defendant, Nelson plainly asked the Defendant, “Do you understand,</w:t>
      </w:r>
      <w:r w:rsidR="009F1013">
        <w:t xml:space="preserve"> and is that OK with you?” </w:t>
      </w:r>
      <w:r w:rsidR="009F1013">
        <w:rPr>
          <w:i/>
        </w:rPr>
        <w:t>Id</w:t>
      </w:r>
      <w:r>
        <w:t>.  In</w:t>
      </w:r>
      <w:r w:rsidR="009E69EE">
        <w:t xml:space="preserve"> response to this question, </w:t>
      </w:r>
      <w:r>
        <w:t>Defendant clearly responded</w:t>
      </w:r>
      <w:r w:rsidR="004C1ED0">
        <w:t>,</w:t>
      </w:r>
      <w:r>
        <w:t xml:space="preserve"> “Yes,” affirming her understanding of th</w:t>
      </w:r>
      <w:r w:rsidR="009F1013">
        <w:t xml:space="preserve">e terms of the agreement.  </w:t>
      </w:r>
      <w:proofErr w:type="gramStart"/>
      <w:r w:rsidR="009F1013">
        <w:rPr>
          <w:i/>
        </w:rPr>
        <w:t>Id</w:t>
      </w:r>
      <w:r>
        <w:t>.</w:t>
      </w:r>
      <w:r w:rsidR="007E252D">
        <w:t xml:space="preserve"> </w:t>
      </w:r>
      <w:r>
        <w:rPr>
          <w:rFonts w:ascii="Calibri" w:hAnsi="Calibri" w:cs="Calibri"/>
        </w:rPr>
        <w:t>¶</w:t>
      </w:r>
      <w:r>
        <w:t xml:space="preserve"> 17.</w:t>
      </w:r>
      <w:proofErr w:type="gramEnd"/>
      <w:r>
        <w:t xml:space="preserve">  </w:t>
      </w:r>
      <w:r w:rsidR="00F904DA">
        <w:t>Before concluding the mee</w:t>
      </w:r>
      <w:r w:rsidR="004C1ED0">
        <w:t xml:space="preserve">ting, Nelson made it clear </w:t>
      </w:r>
      <w:r w:rsidR="00AD1D6C">
        <w:t>Defendant would need to sign paperwork for the agreement, but because he wanted her to get to work right away since the screenplay was due in just four days, he allowed her to return lat</w:t>
      </w:r>
      <w:r w:rsidR="009F1013">
        <w:t xml:space="preserve">er to sign the paperwork.  </w:t>
      </w:r>
      <w:proofErr w:type="gramStart"/>
      <w:r w:rsidR="009F1013">
        <w:rPr>
          <w:i/>
        </w:rPr>
        <w:t>Id</w:t>
      </w:r>
      <w:r w:rsidR="00AD1D6C">
        <w:t>.</w:t>
      </w:r>
      <w:r w:rsidR="007E252D">
        <w:t xml:space="preserve"> </w:t>
      </w:r>
      <w:r w:rsidR="00AD1D6C">
        <w:rPr>
          <w:rFonts w:ascii="Calibri" w:hAnsi="Calibri" w:cs="Calibri"/>
        </w:rPr>
        <w:t>¶</w:t>
      </w:r>
      <w:r w:rsidR="00AD1D6C">
        <w:t xml:space="preserve"> 20.</w:t>
      </w:r>
      <w:proofErr w:type="gramEnd"/>
      <w:r w:rsidR="00AD1D6C">
        <w:t xml:space="preserve">  </w:t>
      </w:r>
    </w:p>
    <w:p w14:paraId="73D28C62" w14:textId="77777777" w:rsidR="00AD1D6C" w:rsidRDefault="00AD1D6C" w:rsidP="004962EB">
      <w:pPr>
        <w:spacing w:line="480" w:lineRule="auto"/>
        <w:ind w:firstLine="720"/>
      </w:pPr>
      <w:r>
        <w:t xml:space="preserve">On April 1, 2010, the Defendant submitted a screenplay entitled “Anticipatory </w:t>
      </w:r>
      <w:r>
        <w:lastRenderedPageBreak/>
        <w:t xml:space="preserve">Repudiation,” and the next day the Plaintiff received a certificate from the Register of Copyrights granting Plaintiff the exclusive rights and privileges </w:t>
      </w:r>
      <w:r w:rsidR="009F1013">
        <w:t xml:space="preserve">in and to the screenplay.  </w:t>
      </w:r>
      <w:proofErr w:type="gramStart"/>
      <w:r w:rsidR="009F1013">
        <w:rPr>
          <w:i/>
        </w:rPr>
        <w:t>Id</w:t>
      </w:r>
      <w:r>
        <w:t xml:space="preserve">. </w:t>
      </w:r>
      <w:r>
        <w:rPr>
          <w:rFonts w:ascii="Calibri" w:hAnsi="Calibri" w:cs="Calibri"/>
        </w:rPr>
        <w:t>¶¶</w:t>
      </w:r>
      <w:r>
        <w:t xml:space="preserve"> 21-22.</w:t>
      </w:r>
      <w:proofErr w:type="gramEnd"/>
      <w:r>
        <w:t xml:space="preserve">  On April 6, 2010, Defendant came to the Plaintiff’s office and signed a document labeled “Work-Made-For-Hire Agreement” before receiving her check f</w:t>
      </w:r>
      <w:r w:rsidR="009F1013">
        <w:t xml:space="preserve">or the commissioned work.  </w:t>
      </w:r>
      <w:proofErr w:type="gramStart"/>
      <w:r w:rsidR="009F1013">
        <w:rPr>
          <w:i/>
        </w:rPr>
        <w:t>Id</w:t>
      </w:r>
      <w:r>
        <w:t>.</w:t>
      </w:r>
      <w:r w:rsidR="007E252D">
        <w:t xml:space="preserve"> </w:t>
      </w:r>
      <w:r>
        <w:rPr>
          <w:rFonts w:ascii="Calibri" w:hAnsi="Calibri" w:cs="Calibri"/>
        </w:rPr>
        <w:t>¶</w:t>
      </w:r>
      <w:r>
        <w:t xml:space="preserve"> 24.</w:t>
      </w:r>
      <w:proofErr w:type="gramEnd"/>
      <w:r>
        <w:t xml:space="preserve">  </w:t>
      </w:r>
      <w:r w:rsidR="009F1013">
        <w:t>The signed agreement</w:t>
      </w:r>
      <w:r w:rsidR="00B16E69">
        <w:t xml:space="preserve"> clearly stated: “I understand and agree that I have prepared the screenplay, ‘Anticipatory Repudiation,’ as a work made for hire under the federal Copyright Act of 1976.  Pursuant to this law, OGS TV is the a</w:t>
      </w:r>
      <w:r w:rsidR="009F1013">
        <w:t xml:space="preserve">uthor of this screenplay.” </w:t>
      </w:r>
      <w:r w:rsidR="009F1013">
        <w:rPr>
          <w:i/>
        </w:rPr>
        <w:t>Id</w:t>
      </w:r>
      <w:r w:rsidR="00B16E69">
        <w:t>.  Nelson</w:t>
      </w:r>
      <w:r w:rsidR="00175986">
        <w:t>, on behalf of Plaintiff,</w:t>
      </w:r>
      <w:r w:rsidR="00B16E69">
        <w:t xml:space="preserve"> also signed the agreement on Apr</w:t>
      </w:r>
      <w:r w:rsidR="009F1013">
        <w:t xml:space="preserve">il 6, 2010.  </w:t>
      </w:r>
      <w:proofErr w:type="gramStart"/>
      <w:r w:rsidR="009F1013">
        <w:rPr>
          <w:i/>
        </w:rPr>
        <w:t>Id</w:t>
      </w:r>
      <w:r w:rsidR="00B16E69">
        <w:t>.</w:t>
      </w:r>
      <w:r w:rsidR="007E252D">
        <w:t xml:space="preserve"> </w:t>
      </w:r>
      <w:r w:rsidR="00B16E69">
        <w:rPr>
          <w:rFonts w:ascii="Calibri" w:hAnsi="Calibri" w:cs="Calibri"/>
        </w:rPr>
        <w:t>¶</w:t>
      </w:r>
      <w:r w:rsidR="00B16E69">
        <w:t xml:space="preserve"> 25.</w:t>
      </w:r>
      <w:proofErr w:type="gramEnd"/>
    </w:p>
    <w:p w14:paraId="6F606FC7" w14:textId="77777777" w:rsidR="004962EB" w:rsidRDefault="00B16E69" w:rsidP="009F1013">
      <w:pPr>
        <w:spacing w:line="480" w:lineRule="auto"/>
        <w:ind w:firstLine="720"/>
      </w:pPr>
      <w:r>
        <w:t>Plaintiff never used the screenplay during the sprin</w:t>
      </w:r>
      <w:r w:rsidR="009F1013">
        <w:t xml:space="preserve">g 2010 television season.  </w:t>
      </w:r>
      <w:proofErr w:type="gramStart"/>
      <w:r w:rsidR="009F1013">
        <w:rPr>
          <w:i/>
        </w:rPr>
        <w:t>Id</w:t>
      </w:r>
      <w:r>
        <w:t>.</w:t>
      </w:r>
      <w:r w:rsidR="007E252D">
        <w:t xml:space="preserve"> </w:t>
      </w:r>
      <w:r>
        <w:rPr>
          <w:rFonts w:ascii="Calibri" w:hAnsi="Calibri" w:cs="Calibri"/>
        </w:rPr>
        <w:t>¶</w:t>
      </w:r>
      <w:r>
        <w:t xml:space="preserve"> 26</w:t>
      </w:r>
      <w:r w:rsidR="009E69EE">
        <w:t>.</w:t>
      </w:r>
      <w:proofErr w:type="gramEnd"/>
      <w:r w:rsidR="009E69EE">
        <w:t xml:space="preserve">  However, in August 2010, </w:t>
      </w:r>
      <w:r>
        <w:t xml:space="preserve">Defendants produced a screenplay entitled “The Love Below” for the pilot of their new show </w:t>
      </w:r>
      <w:r>
        <w:rPr>
          <w:i/>
        </w:rPr>
        <w:t>The Tin Can</w:t>
      </w:r>
      <w:r>
        <w:t xml:space="preserve"> </w:t>
      </w:r>
      <w:proofErr w:type="gramStart"/>
      <w:r>
        <w:t>which</w:t>
      </w:r>
      <w:proofErr w:type="gramEnd"/>
      <w:r>
        <w:t xml:space="preserve"> copied a substantial part of Plaintiff’</w:t>
      </w:r>
      <w:r w:rsidR="009F1013">
        <w:t xml:space="preserve">s copyrighted screenplay.  </w:t>
      </w:r>
      <w:proofErr w:type="gramStart"/>
      <w:r w:rsidR="009F1013">
        <w:rPr>
          <w:i/>
        </w:rPr>
        <w:t>Id</w:t>
      </w:r>
      <w:r>
        <w:t>.</w:t>
      </w:r>
      <w:r w:rsidR="007E252D">
        <w:t xml:space="preserve"> </w:t>
      </w:r>
      <w:r>
        <w:rPr>
          <w:rFonts w:ascii="Calibri" w:hAnsi="Calibri" w:cs="Calibri"/>
        </w:rPr>
        <w:t>¶</w:t>
      </w:r>
      <w:r>
        <w:t xml:space="preserve"> 28.</w:t>
      </w:r>
      <w:proofErr w:type="gramEnd"/>
      <w:r>
        <w:t xml:space="preserve">  Plaintiff had no prior knowledge of the copying, nor did </w:t>
      </w:r>
      <w:r w:rsidR="007E252D">
        <w:t>Plaintiff</w:t>
      </w:r>
      <w:r w:rsidR="009F1013">
        <w:t xml:space="preserve"> grant its consent.  </w:t>
      </w:r>
      <w:r w:rsidR="009F1013">
        <w:rPr>
          <w:i/>
        </w:rPr>
        <w:t>Id</w:t>
      </w:r>
      <w:r w:rsidR="004C1ED0">
        <w:t>.  The episode</w:t>
      </w:r>
      <w:r>
        <w:t xml:space="preserve"> aired without Plaintiff’s consent</w:t>
      </w:r>
      <w:r w:rsidR="0016507B">
        <w:t xml:space="preserve"> on September 7, 2010, causing P</w:t>
      </w:r>
      <w:r>
        <w:t>lai</w:t>
      </w:r>
      <w:r w:rsidR="009F1013">
        <w:t xml:space="preserve">ntiff $86,000 in damages.  </w:t>
      </w:r>
      <w:proofErr w:type="gramStart"/>
      <w:r w:rsidR="009F1013">
        <w:rPr>
          <w:i/>
        </w:rPr>
        <w:t>Id</w:t>
      </w:r>
      <w:r>
        <w:t>.</w:t>
      </w:r>
      <w:r w:rsidR="007E252D">
        <w:t xml:space="preserve"> </w:t>
      </w:r>
      <w:r>
        <w:rPr>
          <w:rFonts w:ascii="Calibri" w:hAnsi="Calibri" w:cs="Calibri"/>
        </w:rPr>
        <w:t>¶¶</w:t>
      </w:r>
      <w:r w:rsidR="009F1013">
        <w:t xml:space="preserve"> 29-30.</w:t>
      </w:r>
      <w:proofErr w:type="gramEnd"/>
    </w:p>
    <w:p w14:paraId="61AD1FF3" w14:textId="77777777" w:rsidR="00175986" w:rsidRPr="007E02B1" w:rsidRDefault="00175986" w:rsidP="00175986">
      <w:pPr>
        <w:spacing w:line="480" w:lineRule="auto"/>
        <w:jc w:val="center"/>
        <w:rPr>
          <w:b/>
          <w:u w:val="single"/>
        </w:rPr>
      </w:pPr>
      <w:r w:rsidRPr="007E02B1">
        <w:rPr>
          <w:b/>
          <w:u w:val="single"/>
        </w:rPr>
        <w:t>ARGUMENT</w:t>
      </w:r>
    </w:p>
    <w:p w14:paraId="49AF9474" w14:textId="77777777" w:rsidR="00175986" w:rsidRDefault="00175986" w:rsidP="00CB78F4">
      <w:pPr>
        <w:rPr>
          <w:b/>
        </w:rPr>
      </w:pPr>
      <w:r>
        <w:rPr>
          <w:b/>
        </w:rPr>
        <w:t xml:space="preserve">THE PARTIES ARE NOT REQUIRED UNDER 17 U.S.C. </w:t>
      </w:r>
      <w:r>
        <w:rPr>
          <w:rFonts w:ascii="Calibri" w:hAnsi="Calibri" w:cs="Calibri"/>
          <w:b/>
        </w:rPr>
        <w:t>§</w:t>
      </w:r>
      <w:r w:rsidR="0033205E">
        <w:rPr>
          <w:rFonts w:ascii="Calibri" w:hAnsi="Calibri" w:cs="Calibri"/>
          <w:b/>
        </w:rPr>
        <w:t xml:space="preserve"> </w:t>
      </w:r>
      <w:r>
        <w:rPr>
          <w:b/>
        </w:rPr>
        <w:t>101(2) TO SIGN A WRITTEN AGREEMENT PRIOR TO CREATION TO CONSTITUTE A VALID WORK-</w:t>
      </w:r>
      <w:r w:rsidR="00CF0E9E">
        <w:rPr>
          <w:b/>
        </w:rPr>
        <w:t>MADE-</w:t>
      </w:r>
      <w:r>
        <w:rPr>
          <w:b/>
        </w:rPr>
        <w:t>FOR-HIRE AGREEMENT.</w:t>
      </w:r>
    </w:p>
    <w:p w14:paraId="6FDF048C" w14:textId="77777777" w:rsidR="00FE6E55" w:rsidRDefault="00CF0E9E" w:rsidP="00444560">
      <w:pPr>
        <w:spacing w:line="480" w:lineRule="auto"/>
      </w:pPr>
      <w:r>
        <w:tab/>
      </w:r>
      <w:r w:rsidR="004C1ED0">
        <w:t>The</w:t>
      </w:r>
      <w:r>
        <w:t xml:space="preserve"> provision on works made for hire </w:t>
      </w:r>
      <w:r w:rsidR="004C1ED0">
        <w:t>in the federal Copyright Act of 1976</w:t>
      </w:r>
      <w:r w:rsidR="000D24FC">
        <w:t xml:space="preserve"> covers works </w:t>
      </w:r>
      <w:r>
        <w:t>created by employees in the course of their employment or commissioned to indep</w:t>
      </w:r>
      <w:r w:rsidR="00444560">
        <w:t>endent contractors, like in this case.</w:t>
      </w:r>
      <w:r>
        <w:t xml:space="preserve"> </w:t>
      </w:r>
      <w:r w:rsidR="00444560">
        <w:t xml:space="preserve"> </w:t>
      </w:r>
      <w:r w:rsidR="00151DE4">
        <w:t>The plain meaning of the statute, which is supported by the relevant legisla</w:t>
      </w:r>
      <w:r w:rsidR="004C1ED0">
        <w:t>tive history, contains</w:t>
      </w:r>
      <w:r w:rsidR="00151DE4">
        <w:t xml:space="preserve"> no requirement that the written agreement be signed by both parties prior to creation of the</w:t>
      </w:r>
      <w:r w:rsidR="00843571">
        <w:t xml:space="preserve"> work </w:t>
      </w:r>
      <w:r w:rsidR="00151DE4">
        <w:t>to constitute a valid work-made-fo</w:t>
      </w:r>
      <w:r w:rsidR="00843571">
        <w:t>r-hire agreement.  In addition</w:t>
      </w:r>
      <w:r w:rsidR="004C1ED0">
        <w:t>, courts in several circuits agree</w:t>
      </w:r>
      <w:r w:rsidR="00151DE4">
        <w:t xml:space="preserve"> that when an oral agreement existed before creation of the work, as in this case, it is still a valid work-made-for-hire situation even if the written </w:t>
      </w:r>
      <w:r w:rsidR="00151DE4">
        <w:lastRenderedPageBreak/>
        <w:t>instrument was executed after creation.</w:t>
      </w:r>
    </w:p>
    <w:p w14:paraId="59BE69F7" w14:textId="77777777" w:rsidR="006C12F6" w:rsidRDefault="00990038" w:rsidP="00CB78F4">
      <w:pPr>
        <w:tabs>
          <w:tab w:val="left" w:pos="-360"/>
        </w:tabs>
        <w:spacing w:line="276" w:lineRule="auto"/>
        <w:rPr>
          <w:b/>
        </w:rPr>
      </w:pPr>
      <w:r>
        <w:rPr>
          <w:b/>
        </w:rPr>
        <w:t xml:space="preserve">A. The plain language of 17 U.S.C. </w:t>
      </w:r>
      <w:r>
        <w:rPr>
          <w:rFonts w:ascii="Calibri" w:hAnsi="Calibri" w:cs="Calibri"/>
          <w:b/>
        </w:rPr>
        <w:t>§</w:t>
      </w:r>
      <w:r>
        <w:rPr>
          <w:b/>
        </w:rPr>
        <w:t xml:space="preserve"> 101(2) does not include any me</w:t>
      </w:r>
      <w:r w:rsidR="0033205E">
        <w:rPr>
          <w:b/>
        </w:rPr>
        <w:t>ntion of a temporal requirement</w:t>
      </w:r>
      <w:r>
        <w:rPr>
          <w:b/>
        </w:rPr>
        <w:t xml:space="preserve"> so one should not be read into the statute.</w:t>
      </w:r>
    </w:p>
    <w:p w14:paraId="78F4135A" w14:textId="77777777" w:rsidR="008344C1" w:rsidRDefault="00990038" w:rsidP="008344C1">
      <w:pPr>
        <w:tabs>
          <w:tab w:val="left" w:pos="-360"/>
        </w:tabs>
        <w:spacing w:line="480" w:lineRule="auto"/>
      </w:pPr>
      <w:r>
        <w:tab/>
      </w:r>
      <w:r w:rsidR="00CB78F4">
        <w:t>The Copyright Act of 1976</w:t>
      </w:r>
      <w:r w:rsidR="004C1ED0">
        <w:t xml:space="preserve"> requires</w:t>
      </w:r>
      <w:r w:rsidR="00CD7398">
        <w:t xml:space="preserve"> the parties “expressly agree in a written instrument” signed by both parties that a given work is considered a work made for hire.</w:t>
      </w:r>
      <w:r w:rsidR="008344C1">
        <w:t xml:space="preserve">  The question presented is whether that signed written instrument required </w:t>
      </w:r>
      <w:proofErr w:type="gramStart"/>
      <w:r w:rsidR="008344C1">
        <w:t>under</w:t>
      </w:r>
      <w:proofErr w:type="gramEnd"/>
      <w:r w:rsidR="008344C1">
        <w:t xml:space="preserve"> 17 U.S.C. </w:t>
      </w:r>
      <w:r w:rsidR="008344C1">
        <w:rPr>
          <w:rFonts w:ascii="Calibri" w:hAnsi="Calibri" w:cs="Calibri"/>
        </w:rPr>
        <w:t>§</w:t>
      </w:r>
      <w:r w:rsidR="008344C1">
        <w:t xml:space="preserve"> 101(2) must be executed prior </w:t>
      </w:r>
      <w:r w:rsidR="00AB18F2">
        <w:t>to creation of the work</w:t>
      </w:r>
      <w:r w:rsidR="008344C1">
        <w:t xml:space="preserve"> to form a valid work-made-for-hire agreement.</w:t>
      </w:r>
    </w:p>
    <w:p w14:paraId="46974FBE" w14:textId="77777777" w:rsidR="00CB78F4" w:rsidRDefault="008344C1" w:rsidP="0079751B">
      <w:pPr>
        <w:tabs>
          <w:tab w:val="left" w:pos="-360"/>
        </w:tabs>
        <w:spacing w:line="480" w:lineRule="auto"/>
      </w:pPr>
      <w:r>
        <w:tab/>
        <w:t xml:space="preserve">When analyzing a statute, the Court must begin by looking at the language of the statute itself.  </w:t>
      </w:r>
      <w:proofErr w:type="spellStart"/>
      <w:r>
        <w:rPr>
          <w:i/>
        </w:rPr>
        <w:t>Touche</w:t>
      </w:r>
      <w:proofErr w:type="spellEnd"/>
      <w:r>
        <w:rPr>
          <w:i/>
        </w:rPr>
        <w:t xml:space="preserve"> Ross &amp; Co. v. </w:t>
      </w:r>
      <w:proofErr w:type="spellStart"/>
      <w:r>
        <w:rPr>
          <w:i/>
        </w:rPr>
        <w:t>Redington</w:t>
      </w:r>
      <w:proofErr w:type="spellEnd"/>
      <w:r>
        <w:t xml:space="preserve">, 442 U.S. 560, 568 (1979).  More specifically, this textual analysis starts with a consideration of the plain meaning of the statute.  </w:t>
      </w:r>
      <w:proofErr w:type="gramStart"/>
      <w:r>
        <w:rPr>
          <w:i/>
        </w:rPr>
        <w:t>Williams v. Taylor</w:t>
      </w:r>
      <w:r>
        <w:t>, 529 U.S. 420, 431 (2000).</w:t>
      </w:r>
      <w:proofErr w:type="gramEnd"/>
      <w:r>
        <w:t xml:space="preserve">  An interpretation that is not within the plain meaning of the statute should not be adopted.  </w:t>
      </w:r>
      <w:r w:rsidR="00F04574">
        <w:rPr>
          <w:i/>
        </w:rPr>
        <w:t>Conn.</w:t>
      </w:r>
      <w:r>
        <w:rPr>
          <w:i/>
        </w:rPr>
        <w:t xml:space="preserve"> Nat. Bank v. </w:t>
      </w:r>
      <w:proofErr w:type="spellStart"/>
      <w:r>
        <w:rPr>
          <w:i/>
        </w:rPr>
        <w:t>Germain</w:t>
      </w:r>
      <w:proofErr w:type="spellEnd"/>
      <w:r>
        <w:t xml:space="preserve">, 503 U.S. 249, 253-54 (1992).  “When the words of a statute are unambiguous, then, this first canon is also the last: ‘judicial inquiry is complete.’”  </w:t>
      </w:r>
      <w:proofErr w:type="gramStart"/>
      <w:r>
        <w:rPr>
          <w:i/>
        </w:rPr>
        <w:t xml:space="preserve">Id. </w:t>
      </w:r>
      <w:r w:rsidRPr="00CB78F4">
        <w:t xml:space="preserve">at </w:t>
      </w:r>
      <w:r>
        <w:t>254.</w:t>
      </w:r>
      <w:proofErr w:type="gramEnd"/>
      <w:r>
        <w:t xml:space="preserve">  “We do not start from the premise that this language is imprecise.  Instead we assume that in drafting this legislation, Congress said what it meant.”  </w:t>
      </w:r>
      <w:proofErr w:type="gramStart"/>
      <w:r>
        <w:rPr>
          <w:i/>
        </w:rPr>
        <w:t xml:space="preserve">United States v. </w:t>
      </w:r>
      <w:proofErr w:type="spellStart"/>
      <w:r>
        <w:rPr>
          <w:i/>
        </w:rPr>
        <w:t>LaBonte</w:t>
      </w:r>
      <w:proofErr w:type="spellEnd"/>
      <w:r w:rsidR="00F04574">
        <w:t>, 520 U.S. 751, 757 (1997).</w:t>
      </w:r>
      <w:proofErr w:type="gramEnd"/>
      <w:r w:rsidR="0079751B">
        <w:t xml:space="preserve">  </w:t>
      </w:r>
      <w:r w:rsidR="00CB78F4">
        <w:t xml:space="preserve">According to 17 U.S.C. </w:t>
      </w:r>
      <w:r w:rsidR="00CB78F4">
        <w:rPr>
          <w:rFonts w:ascii="Calibri" w:hAnsi="Calibri" w:cs="Calibri"/>
        </w:rPr>
        <w:t>§</w:t>
      </w:r>
      <w:r w:rsidR="00CB78F4">
        <w:t>101(2):</w:t>
      </w:r>
    </w:p>
    <w:p w14:paraId="35DB032A" w14:textId="77777777" w:rsidR="00CB78F4" w:rsidRDefault="00CB78F4" w:rsidP="000D24FC">
      <w:pPr>
        <w:spacing w:line="276" w:lineRule="auto"/>
        <w:ind w:left="720"/>
      </w:pPr>
      <w:r>
        <w:t>A “work made for hire” is--</w:t>
      </w:r>
    </w:p>
    <w:p w14:paraId="2E15459D" w14:textId="77777777" w:rsidR="00CB78F4" w:rsidRDefault="00CB78F4" w:rsidP="000D24FC">
      <w:pPr>
        <w:spacing w:line="276" w:lineRule="auto"/>
        <w:ind w:left="720"/>
      </w:pPr>
      <w:r>
        <w:t xml:space="preserve">  (2) </w:t>
      </w:r>
      <w:proofErr w:type="gramStart"/>
      <w:r>
        <w:t>a</w:t>
      </w:r>
      <w:proofErr w:type="gramEnd"/>
      <w:r>
        <w:t xml:space="preserve">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p>
    <w:p w14:paraId="011C6C55" w14:textId="77777777" w:rsidR="000D24FC" w:rsidRDefault="000D24FC" w:rsidP="000D24FC">
      <w:pPr>
        <w:spacing w:line="276" w:lineRule="auto"/>
        <w:ind w:left="720"/>
      </w:pPr>
    </w:p>
    <w:p w14:paraId="3A74B99E" w14:textId="77777777" w:rsidR="00CB78F4" w:rsidRDefault="00CB78F4" w:rsidP="00CB78F4">
      <w:pPr>
        <w:spacing w:line="480" w:lineRule="auto"/>
      </w:pPr>
      <w:r>
        <w:t xml:space="preserve">This provision operates in conjunction with 17 U.S.C. </w:t>
      </w:r>
      <w:r>
        <w:rPr>
          <w:rFonts w:ascii="Calibri" w:hAnsi="Calibri" w:cs="Calibri"/>
        </w:rPr>
        <w:t>§</w:t>
      </w:r>
      <w:r w:rsidR="00AB18F2">
        <w:t xml:space="preserve"> 201(b) which </w:t>
      </w:r>
      <w:r w:rsidR="00F04574">
        <w:t>states</w:t>
      </w:r>
      <w:r>
        <w:t xml:space="preserve"> in a work-made-for-hire situation, the employing or commissioning party is considered the author unless the parties agree otherwise:</w:t>
      </w:r>
    </w:p>
    <w:p w14:paraId="2B01B9D8" w14:textId="77777777" w:rsidR="00CB78F4" w:rsidRDefault="00CB78F4" w:rsidP="000D24FC">
      <w:pPr>
        <w:tabs>
          <w:tab w:val="left" w:pos="-360"/>
        </w:tabs>
        <w:spacing w:line="276" w:lineRule="auto"/>
        <w:ind w:left="720"/>
      </w:pPr>
      <w:r>
        <w:rPr>
          <w:rFonts w:ascii="Calibri" w:hAnsi="Calibri" w:cs="Calibri"/>
        </w:rPr>
        <w:t>§</w:t>
      </w:r>
      <w:r>
        <w:t xml:space="preserve"> 201 Ownership of copyright</w:t>
      </w:r>
    </w:p>
    <w:p w14:paraId="7C43516E" w14:textId="77777777" w:rsidR="00442962" w:rsidRDefault="00CB78F4" w:rsidP="000D24FC">
      <w:pPr>
        <w:tabs>
          <w:tab w:val="left" w:pos="-360"/>
        </w:tabs>
        <w:spacing w:line="276" w:lineRule="auto"/>
        <w:ind w:left="720"/>
      </w:pPr>
      <w:r>
        <w:lastRenderedPageBreak/>
        <w:t xml:space="preserve">  (b) Works made for hire. In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w:t>
      </w:r>
    </w:p>
    <w:p w14:paraId="3D97F17B" w14:textId="77777777" w:rsidR="000D24FC" w:rsidRDefault="000D24FC" w:rsidP="000D24FC">
      <w:pPr>
        <w:tabs>
          <w:tab w:val="left" w:pos="-360"/>
        </w:tabs>
        <w:spacing w:line="276" w:lineRule="auto"/>
        <w:ind w:left="720"/>
      </w:pPr>
    </w:p>
    <w:p w14:paraId="0917D3BA" w14:textId="77777777" w:rsidR="003E60E6" w:rsidRDefault="0079751B" w:rsidP="00FE6E55">
      <w:pPr>
        <w:tabs>
          <w:tab w:val="left" w:pos="-360"/>
        </w:tabs>
        <w:spacing w:line="480" w:lineRule="auto"/>
      </w:pPr>
      <w:r>
        <w:tab/>
      </w:r>
      <w:r w:rsidR="00AB18F2">
        <w:t>The plain meaning of the statute does not contain a</w:t>
      </w:r>
      <w:r w:rsidR="00442962">
        <w:t xml:space="preserve"> requirement that the written agreement for a work made for hire be executed</w:t>
      </w:r>
      <w:r w:rsidR="00AB18F2">
        <w:t xml:space="preserve"> prior to creation</w:t>
      </w:r>
      <w:r w:rsidR="00442962">
        <w:t xml:space="preserve">.  The statute at hand, 17 U.S.C. </w:t>
      </w:r>
      <w:r w:rsidR="00442962">
        <w:rPr>
          <w:rFonts w:ascii="Calibri" w:hAnsi="Calibri" w:cs="Calibri"/>
        </w:rPr>
        <w:t>§</w:t>
      </w:r>
      <w:r w:rsidR="00442962">
        <w:t xml:space="preserve"> 101(2), does not specify when the writte</w:t>
      </w:r>
      <w:r w:rsidR="00A16A62">
        <w:t>n agreement must be executed; i</w:t>
      </w:r>
      <w:r w:rsidR="00442962">
        <w:t>t merely requires the agreement be committed to writing at some point in time.</w:t>
      </w:r>
      <w:r w:rsidR="00F04574">
        <w:t xml:space="preserve">  </w:t>
      </w:r>
      <w:r w:rsidR="006C33B6">
        <w:rPr>
          <w:i/>
        </w:rPr>
        <w:t xml:space="preserve">Playboy Enters. v. Dumas, </w:t>
      </w:r>
      <w:r w:rsidR="006C33B6" w:rsidRPr="00125D80">
        <w:t>53 F.3d 549, 5</w:t>
      </w:r>
      <w:r w:rsidR="006C33B6">
        <w:t>59 (2d Cir. 199</w:t>
      </w:r>
      <w:r w:rsidR="006C33B6" w:rsidRPr="00125D80">
        <w:t>5)</w:t>
      </w:r>
      <w:r w:rsidR="00F04574">
        <w:t>.</w:t>
      </w:r>
      <w:r w:rsidR="00442962">
        <w:t xml:space="preserve">  The Defendants’ attempt to r</w:t>
      </w:r>
      <w:r w:rsidR="00365576">
        <w:t>ead into the statute a temporal</w:t>
      </w:r>
      <w:r w:rsidR="00442962">
        <w:t xml:space="preserve"> requirement is wi</w:t>
      </w:r>
      <w:r w:rsidR="00365576">
        <w:t>thout precedent.  I</w:t>
      </w:r>
      <w:r w:rsidR="00442962">
        <w:t>t has</w:t>
      </w:r>
      <w:r w:rsidR="004A1F71">
        <w:t xml:space="preserve"> </w:t>
      </w:r>
      <w:r w:rsidR="00442962">
        <w:t>long been acc</w:t>
      </w:r>
      <w:r w:rsidR="00444560">
        <w:t>epted</w:t>
      </w:r>
      <w:r w:rsidR="003E60E6">
        <w:t xml:space="preserve"> that a “legislature says in a statute what it means and means in a statute what it says there.”  </w:t>
      </w:r>
      <w:r w:rsidR="00304D1D">
        <w:rPr>
          <w:i/>
        </w:rPr>
        <w:t>Conn.</w:t>
      </w:r>
      <w:r w:rsidR="00587E9E">
        <w:rPr>
          <w:i/>
        </w:rPr>
        <w:t xml:space="preserve"> Nat. Bank</w:t>
      </w:r>
      <w:r w:rsidR="003E60E6">
        <w:rPr>
          <w:i/>
        </w:rPr>
        <w:t xml:space="preserve">, </w:t>
      </w:r>
      <w:r w:rsidR="003E60E6">
        <w:t>503 U.S.</w:t>
      </w:r>
      <w:r w:rsidR="003E60E6">
        <w:rPr>
          <w:i/>
        </w:rPr>
        <w:t xml:space="preserve"> </w:t>
      </w:r>
      <w:r w:rsidR="003E60E6">
        <w:t xml:space="preserve">at 253-54.  If Congress had intended for the written agreement to be executed prior to creation of the work, </w:t>
      </w:r>
      <w:r w:rsidR="00587E9E">
        <w:t xml:space="preserve">it would have included </w:t>
      </w:r>
      <w:r w:rsidR="003E60E6">
        <w:t>language to that effect in the statute.</w:t>
      </w:r>
    </w:p>
    <w:p w14:paraId="72224A74" w14:textId="77777777" w:rsidR="001F5353" w:rsidRDefault="00A16A62" w:rsidP="00FE6E55">
      <w:pPr>
        <w:tabs>
          <w:tab w:val="left" w:pos="-360"/>
        </w:tabs>
        <w:spacing w:line="480" w:lineRule="auto"/>
      </w:pPr>
      <w:r>
        <w:tab/>
        <w:t xml:space="preserve">When Congress includes particular language in one section of the statute but not in another, it is presumed Congress intentionally and purposely excluded it.  </w:t>
      </w:r>
      <w:r w:rsidR="006C33B6">
        <w:rPr>
          <w:i/>
        </w:rPr>
        <w:t>Bate</w:t>
      </w:r>
      <w:r w:rsidR="00304D1D">
        <w:rPr>
          <w:i/>
        </w:rPr>
        <w:t xml:space="preserve"> v. United States</w:t>
      </w:r>
      <w:r>
        <w:t>, 522 U.S. 23,</w:t>
      </w:r>
      <w:r w:rsidR="006C33B6">
        <w:t xml:space="preserve"> 30</w:t>
      </w:r>
      <w:r>
        <w:t xml:space="preserve"> (1997).   T</w:t>
      </w:r>
      <w:r w:rsidR="003E60E6">
        <w:t xml:space="preserve">emporal requirements on written agreements appear in other places within the Copyright Act of 1976. The section regarding termination of transfers and licenses granted by the author, 17 U.S.C. 101 </w:t>
      </w:r>
      <w:r w:rsidR="003E60E6">
        <w:rPr>
          <w:rFonts w:ascii="Calibri" w:hAnsi="Calibri" w:cs="Calibri"/>
        </w:rPr>
        <w:t>§</w:t>
      </w:r>
      <w:r w:rsidR="003E60E6">
        <w:t xml:space="preserve">203(a)(4) specifies that termination </w:t>
      </w:r>
      <w:proofErr w:type="gramStart"/>
      <w:r w:rsidR="003E60E6">
        <w:t>requires</w:t>
      </w:r>
      <w:proofErr w:type="gramEnd"/>
      <w:r w:rsidR="003E60E6">
        <w:t xml:space="preserve"> “advance notice in writing.”  </w:t>
      </w:r>
      <w:r w:rsidR="009024CD">
        <w:t xml:space="preserve">Section 205(e) of 17 U.S.C. 101 explains the priority between conflicting transfer of ownership and nonexclusive license by relying on the timing </w:t>
      </w:r>
      <w:r w:rsidR="00A84DE8">
        <w:t>between granting of the license and execution of the written instr</w:t>
      </w:r>
      <w:r w:rsidR="00E820CC">
        <w:t>ument indicating the transfer.    The</w:t>
      </w:r>
      <w:r w:rsidR="00F119FC">
        <w:t>refore, since</w:t>
      </w:r>
      <w:r w:rsidR="00E820CC">
        <w:t xml:space="preserve"> </w:t>
      </w:r>
      <w:r>
        <w:t xml:space="preserve">the Copyright Act includes </w:t>
      </w:r>
      <w:r w:rsidR="00E820CC">
        <w:t>a temporal requirement</w:t>
      </w:r>
      <w:r>
        <w:t xml:space="preserve"> in certain provisions but not </w:t>
      </w:r>
      <w:r w:rsidR="00A84DE8">
        <w:t xml:space="preserve">in </w:t>
      </w:r>
      <w:r w:rsidR="00A84DE8">
        <w:rPr>
          <w:rFonts w:ascii="Calibri" w:hAnsi="Calibri" w:cs="Calibri"/>
        </w:rPr>
        <w:t>§</w:t>
      </w:r>
      <w:r w:rsidR="00A84DE8">
        <w:t xml:space="preserve"> 101(2)</w:t>
      </w:r>
      <w:r w:rsidR="00F119FC">
        <w:t xml:space="preserve">, </w:t>
      </w:r>
      <w:r w:rsidR="00A84DE8">
        <w:t>Congress did not intend that the written agreement must be signed by both parties prior to creation to constitute a valid work-made-for-hire agreement.</w:t>
      </w:r>
      <w:r w:rsidR="00F119FC">
        <w:t xml:space="preserve">  This means the written agreement </w:t>
      </w:r>
      <w:r w:rsidR="00F119FC">
        <w:lastRenderedPageBreak/>
        <w:t>can happen anytime, including after creation of the work.</w:t>
      </w:r>
      <w:r w:rsidR="003E60E6">
        <w:t xml:space="preserve">  </w:t>
      </w:r>
    </w:p>
    <w:p w14:paraId="288F33B6" w14:textId="77777777" w:rsidR="001221DD" w:rsidRDefault="001F5353" w:rsidP="00FE6E55">
      <w:pPr>
        <w:tabs>
          <w:tab w:val="left" w:pos="-360"/>
        </w:tabs>
        <w:spacing w:line="480" w:lineRule="auto"/>
      </w:pPr>
      <w:r>
        <w:tab/>
      </w:r>
      <w:r w:rsidR="002D43DB">
        <w:t xml:space="preserve">Although the plain text of the statute does not require a written agreement to precede the creation of the work, the Defendants </w:t>
      </w:r>
      <w:r>
        <w:t xml:space="preserve">may argue </w:t>
      </w:r>
      <w:r w:rsidR="00E820CC">
        <w:t>adopting the</w:t>
      </w:r>
      <w:r>
        <w:t xml:space="preserve"> interpretation </w:t>
      </w:r>
      <w:r w:rsidR="00A42F2C">
        <w:t xml:space="preserve">of </w:t>
      </w:r>
      <w:r w:rsidR="00A42F2C">
        <w:rPr>
          <w:rFonts w:ascii="Calibri" w:hAnsi="Calibri" w:cs="Calibri"/>
        </w:rPr>
        <w:t xml:space="preserve">§ </w:t>
      </w:r>
      <w:r w:rsidR="00A42F2C">
        <w:t xml:space="preserve">101(2) </w:t>
      </w:r>
      <w:r w:rsidR="00E820CC">
        <w:t xml:space="preserve">we advocate </w:t>
      </w:r>
      <w:r w:rsidR="00F241CC">
        <w:t>forces the Court to interpret</w:t>
      </w:r>
      <w:r>
        <w:t xml:space="preserve"> </w:t>
      </w:r>
      <w:r>
        <w:rPr>
          <w:rFonts w:ascii="Calibri" w:hAnsi="Calibri" w:cs="Calibri"/>
        </w:rPr>
        <w:t>§</w:t>
      </w:r>
      <w:r>
        <w:t xml:space="preserve"> 201 </w:t>
      </w:r>
      <w:r w:rsidR="00F119FC">
        <w:t>(</w:t>
      </w:r>
      <w:r w:rsidR="00F241CC">
        <w:t>work-made-for hire-</w:t>
      </w:r>
      <w:r>
        <w:t>agreements</w:t>
      </w:r>
      <w:r w:rsidR="00F241CC">
        <w:t>) in such a way that it</w:t>
      </w:r>
      <w:r w:rsidR="00A42F2C">
        <w:t xml:space="preserve"> makes</w:t>
      </w:r>
      <w:r>
        <w:t xml:space="preserve"> </w:t>
      </w:r>
      <w:r>
        <w:rPr>
          <w:rFonts w:ascii="Calibri" w:hAnsi="Calibri" w:cs="Calibri"/>
        </w:rPr>
        <w:t>§</w:t>
      </w:r>
      <w:r>
        <w:t xml:space="preserve"> 204 </w:t>
      </w:r>
      <w:r w:rsidR="00F119FC">
        <w:t>(</w:t>
      </w:r>
      <w:r>
        <w:t>transfers of copyright ownership</w:t>
      </w:r>
      <w:r w:rsidR="00F241CC">
        <w:t>)</w:t>
      </w:r>
      <w:r>
        <w:t xml:space="preserve"> </w:t>
      </w:r>
      <w:r w:rsidR="00A42F2C">
        <w:t>duplicative</w:t>
      </w:r>
      <w:r>
        <w:t xml:space="preserve">.  </w:t>
      </w:r>
      <w:r w:rsidR="00A42F2C">
        <w:t xml:space="preserve">While it is well accepted that the Court should interpret statutes to prevent </w:t>
      </w:r>
      <w:proofErr w:type="spellStart"/>
      <w:r w:rsidR="00A42F2C">
        <w:t>surplusage</w:t>
      </w:r>
      <w:proofErr w:type="spellEnd"/>
      <w:r w:rsidR="00A42F2C">
        <w:t xml:space="preserve">, </w:t>
      </w:r>
      <w:r w:rsidR="006C33B6">
        <w:rPr>
          <w:i/>
        </w:rPr>
        <w:t>Corley v. United States</w:t>
      </w:r>
      <w:r w:rsidR="00A42F2C">
        <w:t>, 556 U.S. 303</w:t>
      </w:r>
      <w:r w:rsidR="006C33B6">
        <w:t>, 314</w:t>
      </w:r>
      <w:r w:rsidR="00A42F2C">
        <w:t xml:space="preserve"> (2009), t</w:t>
      </w:r>
      <w:r w:rsidR="002D43DB">
        <w:t>his argument fails because the two section</w:t>
      </w:r>
      <w:r w:rsidR="00F119FC">
        <w:t>s</w:t>
      </w:r>
      <w:r w:rsidR="00103E9B">
        <w:t xml:space="preserve"> cover two different copyright concepts</w:t>
      </w:r>
      <w:r w:rsidR="002D43DB">
        <w:t xml:space="preserve">.  </w:t>
      </w:r>
      <w:r w:rsidR="00F36EE6">
        <w:t>Section 201 makes the hiring party the “</w:t>
      </w:r>
      <w:r w:rsidR="00F36EE6" w:rsidRPr="00F119FC">
        <w:rPr>
          <w:i/>
        </w:rPr>
        <w:t>author</w:t>
      </w:r>
      <w:r w:rsidR="00F36EE6">
        <w:t xml:space="preserve">” of the work through a work-made-for-hire agreement while </w:t>
      </w:r>
      <w:r w:rsidR="00F36EE6">
        <w:rPr>
          <w:rFonts w:ascii="Calibri" w:hAnsi="Calibri" w:cs="Calibri"/>
        </w:rPr>
        <w:t>§</w:t>
      </w:r>
      <w:r w:rsidR="00F36EE6">
        <w:t xml:space="preserve"> 204 transfers only </w:t>
      </w:r>
      <w:r w:rsidR="00F36EE6" w:rsidRPr="00F119FC">
        <w:rPr>
          <w:i/>
        </w:rPr>
        <w:t>ownership</w:t>
      </w:r>
      <w:r w:rsidR="00F36EE6">
        <w:t xml:space="preserve"> of the copyright.  </w:t>
      </w:r>
      <w:r w:rsidR="00F36EE6">
        <w:rPr>
          <w:i/>
        </w:rPr>
        <w:t>Playboy Enters</w:t>
      </w:r>
      <w:proofErr w:type="gramStart"/>
      <w:r w:rsidR="006C33B6">
        <w:rPr>
          <w:i/>
        </w:rPr>
        <w:t>.</w:t>
      </w:r>
      <w:r w:rsidR="006C33B6">
        <w:t>,</w:t>
      </w:r>
      <w:proofErr w:type="gramEnd"/>
      <w:r w:rsidR="006C33B6">
        <w:rPr>
          <w:i/>
        </w:rPr>
        <w:t xml:space="preserve"> </w:t>
      </w:r>
      <w:r w:rsidR="006C33B6">
        <w:t xml:space="preserve">53 F.3d at </w:t>
      </w:r>
      <w:r w:rsidR="00F36EE6" w:rsidRPr="00125D80">
        <w:t>5</w:t>
      </w:r>
      <w:r w:rsidR="00F36EE6">
        <w:t xml:space="preserve">58.  </w:t>
      </w:r>
      <w:r w:rsidR="00F119FC">
        <w:t>This distinction is important because a</w:t>
      </w:r>
      <w:r w:rsidR="00440455">
        <w:t xml:space="preserve">uthorship grants an individual all the exclusive rights of copyright while transfer allows the author to carve out and transfer </w:t>
      </w:r>
      <w:r w:rsidR="002D43DB">
        <w:t>separate ownership of any of those</w:t>
      </w:r>
      <w:r w:rsidR="00440455">
        <w:t xml:space="preserve"> rights to others.  </w:t>
      </w:r>
      <w:proofErr w:type="gramStart"/>
      <w:r w:rsidR="00440455">
        <w:t xml:space="preserve">1 Holmes, </w:t>
      </w:r>
      <w:r w:rsidR="00440455">
        <w:rPr>
          <w:i/>
        </w:rPr>
        <w:t>Intellectual Property and Antitrust Law</w:t>
      </w:r>
      <w:r w:rsidR="00440455">
        <w:t xml:space="preserve"> § 4:10 (2011).</w:t>
      </w:r>
      <w:proofErr w:type="gramEnd"/>
      <w:r w:rsidR="00F36EE6">
        <w:t xml:space="preserve">  Therefore, even if the Court adopts the interpr</w:t>
      </w:r>
      <w:r w:rsidR="00103E9B">
        <w:t>etation of 17 U.S.C. 101(2)</w:t>
      </w:r>
      <w:r w:rsidR="00F36EE6">
        <w:t xml:space="preserve"> we advocate, </w:t>
      </w:r>
      <w:r w:rsidR="00F36EE6">
        <w:rPr>
          <w:rFonts w:ascii="Calibri" w:hAnsi="Calibri" w:cs="Calibri"/>
        </w:rPr>
        <w:t>§</w:t>
      </w:r>
      <w:r w:rsidR="00F36EE6">
        <w:t xml:space="preserve"> 201 and </w:t>
      </w:r>
      <w:r w:rsidR="00F36EE6">
        <w:rPr>
          <w:rFonts w:ascii="Calibri" w:hAnsi="Calibri" w:cs="Calibri"/>
        </w:rPr>
        <w:t>§</w:t>
      </w:r>
      <w:r w:rsidR="00F36EE6">
        <w:t xml:space="preserve"> 204 </w:t>
      </w:r>
      <w:r w:rsidR="002D43DB">
        <w:t xml:space="preserve">cover </w:t>
      </w:r>
      <w:r w:rsidR="00F36EE6">
        <w:t>two different types of transactions and are</w:t>
      </w:r>
      <w:r w:rsidR="00914AE4">
        <w:t xml:space="preserve"> not duplicative.  Therefore, </w:t>
      </w:r>
      <w:r w:rsidR="008D39BA">
        <w:t>the plain meaning of the statute, which includes no temporal requirement, should stand.</w:t>
      </w:r>
    </w:p>
    <w:p w14:paraId="18BF926E" w14:textId="77777777" w:rsidR="001221DD" w:rsidRDefault="001221DD" w:rsidP="00CB78F4">
      <w:pPr>
        <w:tabs>
          <w:tab w:val="left" w:pos="-360"/>
        </w:tabs>
        <w:spacing w:line="276" w:lineRule="auto"/>
        <w:rPr>
          <w:b/>
        </w:rPr>
      </w:pPr>
      <w:r>
        <w:rPr>
          <w:b/>
        </w:rPr>
        <w:t>B. The legislative history of the work made for hire provision shows significant negotiation and attention to detail indicating a timing requirement would have been included if Congress had intended for one to exist.</w:t>
      </w:r>
    </w:p>
    <w:p w14:paraId="08613A1D" w14:textId="77777777" w:rsidR="001221DD" w:rsidRPr="00392FD3" w:rsidRDefault="005B3C5B" w:rsidP="00FE6E55">
      <w:pPr>
        <w:tabs>
          <w:tab w:val="left" w:pos="-360"/>
        </w:tabs>
        <w:spacing w:line="480" w:lineRule="auto"/>
      </w:pPr>
      <w:r>
        <w:tab/>
        <w:t>Although the plain meaning of 17 U.S.C. 101(2) is cle</w:t>
      </w:r>
      <w:r w:rsidR="00636466">
        <w:t xml:space="preserve">ar and unambiguous, </w:t>
      </w:r>
      <w:r w:rsidR="00103E9B">
        <w:t>the Court should turn to</w:t>
      </w:r>
      <w:r>
        <w:t xml:space="preserve"> legislative history</w:t>
      </w:r>
      <w:r w:rsidR="00103E9B" w:rsidRPr="00103E9B">
        <w:t xml:space="preserve"> </w:t>
      </w:r>
      <w:r w:rsidR="00103E9B">
        <w:t>if the statute cannot be interpreted by relying solely on the plain meaning</w:t>
      </w:r>
      <w:r>
        <w:t xml:space="preserve">.  </w:t>
      </w:r>
      <w:r>
        <w:rPr>
          <w:i/>
        </w:rPr>
        <w:t xml:space="preserve">Fla. Power &amp; Light Co. v. </w:t>
      </w:r>
      <w:proofErr w:type="spellStart"/>
      <w:r>
        <w:rPr>
          <w:i/>
        </w:rPr>
        <w:t>Lorion</w:t>
      </w:r>
      <w:proofErr w:type="spellEnd"/>
      <w:r>
        <w:t xml:space="preserve">, 470 U.S. 729, 737 (1985).  </w:t>
      </w:r>
      <w:r w:rsidR="00C2578B">
        <w:t>The issue is</w:t>
      </w:r>
      <w:r w:rsidR="001204C2">
        <w:t xml:space="preserve"> whether Congress intended the written agreement to be signed prior to creation of the work.  </w:t>
      </w:r>
      <w:r>
        <w:t xml:space="preserve">When the relevant legislative history shows </w:t>
      </w:r>
      <w:r w:rsidR="000F5B49">
        <w:t>the final statutory language is the result of compromise between groups with divergent interests</w:t>
      </w:r>
      <w:r>
        <w:t xml:space="preserve">, </w:t>
      </w:r>
      <w:r w:rsidR="000F5B49">
        <w:t xml:space="preserve">“courts and agencies must respect and give effect to </w:t>
      </w:r>
      <w:r w:rsidR="000F5B49">
        <w:lastRenderedPageBreak/>
        <w:t xml:space="preserve">these sorts of compromises.”  </w:t>
      </w:r>
      <w:proofErr w:type="gramStart"/>
      <w:r w:rsidR="00392FD3">
        <w:rPr>
          <w:i/>
        </w:rPr>
        <w:t>Ragsdale v. Wolverine World Wide, Inc.</w:t>
      </w:r>
      <w:r w:rsidR="00392FD3">
        <w:t>, 535 U.S. 81</w:t>
      </w:r>
      <w:r w:rsidR="000F5B49">
        <w:t>, 93-94</w:t>
      </w:r>
      <w:r w:rsidR="00392FD3">
        <w:t xml:space="preserve"> (2002).</w:t>
      </w:r>
      <w:proofErr w:type="gramEnd"/>
    </w:p>
    <w:p w14:paraId="14FF2E33" w14:textId="77777777" w:rsidR="005B3C5B" w:rsidRPr="00392FD3" w:rsidRDefault="005B3C5B" w:rsidP="00FE6E55">
      <w:pPr>
        <w:tabs>
          <w:tab w:val="left" w:pos="-360"/>
        </w:tabs>
        <w:spacing w:line="480" w:lineRule="auto"/>
      </w:pPr>
      <w:r>
        <w:tab/>
        <w:t xml:space="preserve">A review of the legislative history regarding the work-made-for-hire provisions in the Copyright Act of 1976 reveals they were the result of several years of debate and compromise by members of the </w:t>
      </w:r>
      <w:r w:rsidR="00914AE4">
        <w:t xml:space="preserve">affected </w:t>
      </w:r>
      <w:r>
        <w:t xml:space="preserve">industries.  Jessica D. </w:t>
      </w:r>
      <w:proofErr w:type="spellStart"/>
      <w:r>
        <w:t>Litman</w:t>
      </w:r>
      <w:proofErr w:type="spellEnd"/>
      <w:r>
        <w:t xml:space="preserve">, </w:t>
      </w:r>
      <w:r>
        <w:rPr>
          <w:i/>
        </w:rPr>
        <w:t>Copyright, Compromise, and Legislative History,</w:t>
      </w:r>
      <w:r>
        <w:t xml:space="preserve"> 72 Cornell L. Rev. 857, 867-68 (1987).  The </w:t>
      </w:r>
      <w:proofErr w:type="gramStart"/>
      <w:r>
        <w:t>language which is currently reflected in 17 U.S.C. 101(2) was first</w:t>
      </w:r>
      <w:proofErr w:type="gramEnd"/>
      <w:r>
        <w:t xml:space="preserve"> agreed upon in 1</w:t>
      </w:r>
      <w:r w:rsidR="00A967C5">
        <w:t>967 after lengthy negotiation.  The Register of Copyrights</w:t>
      </w:r>
      <w:r w:rsidR="0050785D">
        <w:t xml:space="preserve"> on the General Revision of the U.S. Copyright Law</w:t>
      </w:r>
      <w:r w:rsidR="00A967C5">
        <w:t xml:space="preserve"> 1975 Revision Bill, Oct. – Dec. 1975 (Draft): Second Supplementary Report</w:t>
      </w:r>
      <w:r w:rsidR="0050785D">
        <w:t xml:space="preserve">, 301 (1975).  </w:t>
      </w:r>
      <w:r w:rsidR="00103E9B">
        <w:t>W</w:t>
      </w:r>
      <w:r>
        <w:t xml:space="preserve">hile </w:t>
      </w:r>
      <w:proofErr w:type="gramStart"/>
      <w:r>
        <w:t>the act was being considered by Congress</w:t>
      </w:r>
      <w:proofErr w:type="gramEnd"/>
      <w:r w:rsidR="00103E9B">
        <w:t xml:space="preserve"> over the next decade</w:t>
      </w:r>
      <w:r>
        <w:t xml:space="preserve">, several witnesses came to Congress with proposals to change the language.  </w:t>
      </w:r>
      <w:proofErr w:type="spellStart"/>
      <w:proofErr w:type="gramStart"/>
      <w:r w:rsidR="00A967C5">
        <w:t>Litman</w:t>
      </w:r>
      <w:proofErr w:type="spellEnd"/>
      <w:r w:rsidR="00A967C5">
        <w:t xml:space="preserve">, </w:t>
      </w:r>
      <w:r w:rsidR="00A967C5">
        <w:rPr>
          <w:i/>
        </w:rPr>
        <w:t>supra</w:t>
      </w:r>
      <w:r w:rsidR="00A967C5">
        <w:t xml:space="preserve"> at 867</w:t>
      </w:r>
      <w:r>
        <w:t>.</w:t>
      </w:r>
      <w:proofErr w:type="gramEnd"/>
      <w:r>
        <w:t xml:space="preserve">  The Registers of Copyrights consistently lobbied against the</w:t>
      </w:r>
      <w:r w:rsidR="00392FD3">
        <w:t>se</w:t>
      </w:r>
      <w:r>
        <w:t xml:space="preserve"> changes, and Congress eventually approved the relevant provisions essentially without change.  </w:t>
      </w:r>
      <w:proofErr w:type="gramStart"/>
      <w:r>
        <w:rPr>
          <w:i/>
        </w:rPr>
        <w:t xml:space="preserve">Id. </w:t>
      </w:r>
      <w:r>
        <w:t>at 868.</w:t>
      </w:r>
      <w:proofErr w:type="gramEnd"/>
      <w:r w:rsidR="00392FD3">
        <w:t xml:space="preserve">  The Supreme Court has said the rejection of amendments to existing legislation is a circumstance that should be weighed</w:t>
      </w:r>
      <w:r w:rsidR="005C3DC8">
        <w:t xml:space="preserve"> when attempting to determine the exact legislative intent of the </w:t>
      </w:r>
      <w:proofErr w:type="spellStart"/>
      <w:r w:rsidR="005C3DC8">
        <w:t>unamended</w:t>
      </w:r>
      <w:proofErr w:type="spellEnd"/>
      <w:r w:rsidR="005C3DC8">
        <w:t xml:space="preserve"> language</w:t>
      </w:r>
      <w:r w:rsidR="00392FD3">
        <w:t xml:space="preserve">.  </w:t>
      </w:r>
      <w:r w:rsidR="00392FD3">
        <w:rPr>
          <w:i/>
        </w:rPr>
        <w:t>Fox v. Standard Oil Co. of New Jersey</w:t>
      </w:r>
      <w:r w:rsidR="00392FD3">
        <w:t xml:space="preserve">, 294 U.S. 87, </w:t>
      </w:r>
      <w:r w:rsidR="005C3DC8">
        <w:t xml:space="preserve">96 </w:t>
      </w:r>
      <w:r w:rsidR="00392FD3">
        <w:t>(1935).</w:t>
      </w:r>
    </w:p>
    <w:p w14:paraId="1C9C0ED4" w14:textId="77777777" w:rsidR="00280B5B" w:rsidRDefault="00280B5B" w:rsidP="00FE6E55">
      <w:pPr>
        <w:tabs>
          <w:tab w:val="left" w:pos="-360"/>
        </w:tabs>
        <w:spacing w:line="480" w:lineRule="auto"/>
      </w:pPr>
      <w:r>
        <w:tab/>
      </w:r>
      <w:r w:rsidR="00A72358">
        <w:t>Over the decade during which the Copyright Act was written, t</w:t>
      </w:r>
      <w:r>
        <w:t>he work-made-for-hire provision</w:t>
      </w:r>
      <w:r w:rsidR="00A72358">
        <w:t>s received</w:t>
      </w:r>
      <w:r w:rsidR="00103E9B">
        <w:t xml:space="preserve"> thorough review</w:t>
      </w:r>
      <w:r>
        <w:t xml:space="preserve"> yet</w:t>
      </w:r>
      <w:r w:rsidR="00103E9B">
        <w:t xml:space="preserve"> included</w:t>
      </w:r>
      <w:r>
        <w:t xml:space="preserve"> no temporal requirement.  </w:t>
      </w:r>
      <w:r w:rsidR="00A72358">
        <w:t>I</w:t>
      </w:r>
      <w:r>
        <w:t xml:space="preserve">f Congress or the industries which were engaged in the negotiations over the language had intended for a written agreement only to be valid </w:t>
      </w:r>
      <w:r w:rsidR="007F480E">
        <w:t>if executed before creation, that</w:t>
      </w:r>
      <w:r>
        <w:t xml:space="preserve"> language would have been added during the ten years of debate on the Act.</w:t>
      </w:r>
      <w:r w:rsidR="00024840">
        <w:t xml:space="preserve">  </w:t>
      </w:r>
      <w:r w:rsidR="00A72358">
        <w:t>In contrast</w:t>
      </w:r>
      <w:r>
        <w:t xml:space="preserve">, significant limitations were placed on the types of commissioned works that could be considered work-for-hire situations.  </w:t>
      </w:r>
      <w:proofErr w:type="spellStart"/>
      <w:proofErr w:type="gramStart"/>
      <w:r w:rsidR="00A72358">
        <w:t>Litman</w:t>
      </w:r>
      <w:proofErr w:type="spellEnd"/>
      <w:r w:rsidR="00A72358">
        <w:t xml:space="preserve">, </w:t>
      </w:r>
      <w:r w:rsidR="00A72358" w:rsidRPr="00A72358">
        <w:rPr>
          <w:i/>
        </w:rPr>
        <w:t>supra</w:t>
      </w:r>
      <w:r w:rsidR="00A72358">
        <w:t xml:space="preserve"> at </w:t>
      </w:r>
      <w:r w:rsidRPr="00A72358">
        <w:t>890</w:t>
      </w:r>
      <w:r w:rsidR="007F480E">
        <w:t>.</w:t>
      </w:r>
      <w:proofErr w:type="gramEnd"/>
      <w:r w:rsidR="007F480E">
        <w:t xml:space="preserve">  These limitations show</w:t>
      </w:r>
      <w:r>
        <w:t xml:space="preserve"> the drafters were intentional about </w:t>
      </w:r>
      <w:r w:rsidR="007F480E">
        <w:t>when and where</w:t>
      </w:r>
      <w:r>
        <w:t xml:space="preserve"> </w:t>
      </w:r>
      <w:r w:rsidR="006269C7">
        <w:t>to include limits</w:t>
      </w:r>
      <w:r>
        <w:t xml:space="preserve"> </w:t>
      </w:r>
      <w:r w:rsidR="006269C7">
        <w:t>in</w:t>
      </w:r>
      <w:r>
        <w:t xml:space="preserve"> the</w:t>
      </w:r>
      <w:r w:rsidR="006269C7">
        <w:t xml:space="preserve"> statute</w:t>
      </w:r>
      <w:r>
        <w:t>.</w:t>
      </w:r>
      <w:r w:rsidR="00270822">
        <w:t xml:space="preserve">  </w:t>
      </w:r>
      <w:proofErr w:type="gramStart"/>
      <w:r w:rsidR="00A72358">
        <w:rPr>
          <w:i/>
        </w:rPr>
        <w:t>Dean v. United States</w:t>
      </w:r>
      <w:r w:rsidR="00270822">
        <w:t xml:space="preserve">, </w:t>
      </w:r>
      <w:r w:rsidR="00A72358">
        <w:t>129 S. Ct. 1849, 1854</w:t>
      </w:r>
      <w:r w:rsidR="00270822">
        <w:t xml:space="preserve"> (2009).</w:t>
      </w:r>
      <w:proofErr w:type="gramEnd"/>
      <w:r w:rsidR="006269C7">
        <w:t xml:space="preserve">  Thus, since there are</w:t>
      </w:r>
      <w:r>
        <w:t xml:space="preserve"> </w:t>
      </w:r>
      <w:r>
        <w:lastRenderedPageBreak/>
        <w:t xml:space="preserve">no temporal restrictions </w:t>
      </w:r>
      <w:r w:rsidR="006269C7">
        <w:t>on</w:t>
      </w:r>
      <w:r>
        <w:t xml:space="preserve"> the written agreement</w:t>
      </w:r>
      <w:r w:rsidR="006269C7">
        <w:t xml:space="preserve"> in the statutory language</w:t>
      </w:r>
      <w:r>
        <w:t>, it is safe to say the drafters did not intend for any limits to exist.</w:t>
      </w:r>
    </w:p>
    <w:p w14:paraId="29F1AC9D" w14:textId="77777777" w:rsidR="0051407E" w:rsidRDefault="0051407E" w:rsidP="00FE6E55">
      <w:pPr>
        <w:tabs>
          <w:tab w:val="left" w:pos="-360"/>
        </w:tabs>
        <w:spacing w:line="480" w:lineRule="auto"/>
      </w:pPr>
      <w:r>
        <w:tab/>
      </w:r>
      <w:r w:rsidR="00F0676D">
        <w:t>T</w:t>
      </w:r>
      <w:r>
        <w:t xml:space="preserve">he work-made-for-hire definition in </w:t>
      </w:r>
      <w:r>
        <w:rPr>
          <w:rFonts w:ascii="Calibri" w:hAnsi="Calibri" w:cs="Calibri"/>
        </w:rPr>
        <w:t>§</w:t>
      </w:r>
      <w:r>
        <w:t xml:space="preserve"> 101(2) was only approved “after a great deal of discussion and splitting of hairs.”</w:t>
      </w:r>
      <w:r w:rsidR="00A72358">
        <w:t xml:space="preserve">  The Register of Copyrights on the General Revision of the U.S. Copyright Law 1975 Revision Bill, </w:t>
      </w:r>
      <w:r w:rsidR="00A72358">
        <w:rPr>
          <w:i/>
        </w:rPr>
        <w:t>supra</w:t>
      </w:r>
      <w:r w:rsidR="00A72358">
        <w:t xml:space="preserve"> at </w:t>
      </w:r>
      <w:r w:rsidR="00F0676D">
        <w:t>300</w:t>
      </w:r>
      <w:r w:rsidR="00A72358">
        <w:t>.</w:t>
      </w:r>
      <w:r>
        <w:t xml:space="preserve">  Again, with the attention to detail paid to this provision,</w:t>
      </w:r>
      <w:r w:rsidR="00914AE4">
        <w:t xml:space="preserve"> </w:t>
      </w:r>
      <w:r>
        <w:t xml:space="preserve">if Congress had meant to include temporal restrictions on the written agreement, it would </w:t>
      </w:r>
      <w:r w:rsidR="006269C7">
        <w:t>appear</w:t>
      </w:r>
      <w:r>
        <w:t xml:space="preserve"> in the text of the statute.  The provision on commissioned works was even amended in 1969,</w:t>
      </w:r>
      <w:r w:rsidR="00F0676D">
        <w:t xml:space="preserve"> </w:t>
      </w:r>
      <w:r w:rsidR="00F0676D">
        <w:rPr>
          <w:i/>
        </w:rPr>
        <w:t xml:space="preserve">Id. </w:t>
      </w:r>
      <w:r w:rsidR="00F0676D">
        <w:t>at 301</w:t>
      </w:r>
      <w:r>
        <w:t>, indicating that it continued to be carefully reviewed and enhanced from the time i</w:t>
      </w:r>
      <w:r w:rsidR="00EF2535">
        <w:t>t was first approved in 1967 to</w:t>
      </w:r>
      <w:r>
        <w:t xml:space="preserve"> when the bill was finally enacted in 1976.  This notion that the work-made-for-hire language was the product of extensive negotiation and compromise is also supported by the Supplementary Register’s Report on the General Revision of th</w:t>
      </w:r>
      <w:r w:rsidR="00F0676D">
        <w:t>e U.S. Copyright Law (1965</w:t>
      </w:r>
      <w:proofErr w:type="gramStart"/>
      <w:r w:rsidR="00F0676D">
        <w:t>) which</w:t>
      </w:r>
      <w:r>
        <w:t xml:space="preserve"> says the work-made-for-hire provision</w:t>
      </w:r>
      <w:proofErr w:type="gramEnd"/>
      <w:r>
        <w:t xml:space="preserve"> was a “difficult and hotly contested issue in</w:t>
      </w:r>
      <w:r w:rsidR="0050785D">
        <w:t xml:space="preserve"> the development of the bill.”  Staff of H. Comm. on the Judiciary, 89</w:t>
      </w:r>
      <w:r w:rsidR="0050785D" w:rsidRPr="0050785D">
        <w:rPr>
          <w:vertAlign w:val="superscript"/>
        </w:rPr>
        <w:t>th</w:t>
      </w:r>
      <w:r w:rsidR="0050785D">
        <w:t xml:space="preserve"> Cong., Supplementary Register’s Report on the General Revision of the U.S. Copyright Law 66 (Comm. Print 1965).</w:t>
      </w:r>
      <w:r w:rsidR="000046EB">
        <w:t xml:space="preserve">  For instance, the </w:t>
      </w:r>
      <w:r w:rsidR="006269C7">
        <w:t xml:space="preserve">original </w:t>
      </w:r>
      <w:r w:rsidR="000046EB">
        <w:t>language</w:t>
      </w:r>
      <w:r w:rsidR="006269C7">
        <w:t xml:space="preserve"> covered works</w:t>
      </w:r>
      <w:r w:rsidR="000046EB">
        <w:t xml:space="preserve"> “prepared by an employee within the scope of the duties of his employment, but not including a work made on special order or commission.”  </w:t>
      </w:r>
      <w:r w:rsidR="00F0676D">
        <w:t>1964 Revision Bill with Discussion and Comments, H.R. Rep. No. 51-374, 89</w:t>
      </w:r>
      <w:r w:rsidR="00F0676D" w:rsidRPr="00F0676D">
        <w:rPr>
          <w:vertAlign w:val="superscript"/>
        </w:rPr>
        <w:t>th</w:t>
      </w:r>
      <w:r w:rsidR="00F0676D">
        <w:t xml:space="preserve"> Cong., 1</w:t>
      </w:r>
      <w:r w:rsidR="00F0676D" w:rsidRPr="00F0676D">
        <w:t>st</w:t>
      </w:r>
      <w:r w:rsidR="00F0676D">
        <w:t xml:space="preserve"> Sess., Part 5, at</w:t>
      </w:r>
      <w:r w:rsidR="000046EB">
        <w:t xml:space="preserve"> 144-45 (1965).  Since several industries, especially book publishers, protested, </w:t>
      </w:r>
      <w:r w:rsidR="0007647D">
        <w:rPr>
          <w:i/>
        </w:rPr>
        <w:t>Id.</w:t>
      </w:r>
      <w:r w:rsidR="008E61C1">
        <w:t xml:space="preserve"> at 145</w:t>
      </w:r>
      <w:r w:rsidR="0007647D">
        <w:t xml:space="preserve">, </w:t>
      </w:r>
      <w:r w:rsidR="006269C7">
        <w:t>the current language was added</w:t>
      </w:r>
      <w:r w:rsidR="000046EB">
        <w:t xml:space="preserve"> </w:t>
      </w:r>
      <w:r w:rsidR="006269C7">
        <w:t>and</w:t>
      </w:r>
      <w:r w:rsidR="000046EB">
        <w:t xml:space="preserve"> </w:t>
      </w:r>
      <w:r w:rsidR="00877B94">
        <w:t>ultimately</w:t>
      </w:r>
      <w:r w:rsidR="000046EB">
        <w:t xml:space="preserve"> adopted.</w:t>
      </w:r>
      <w:r w:rsidR="00877B94">
        <w:t xml:space="preserve">  Therefore, if the industries and Congress had intended for the statute to include a temporal requirement, it would have been added to the language of the bill.  </w:t>
      </w:r>
    </w:p>
    <w:p w14:paraId="3777D575" w14:textId="77777777" w:rsidR="00270822" w:rsidRPr="00270822" w:rsidRDefault="00353AB3" w:rsidP="00FE6E55">
      <w:pPr>
        <w:tabs>
          <w:tab w:val="left" w:pos="-360"/>
        </w:tabs>
        <w:spacing w:line="480" w:lineRule="auto"/>
      </w:pPr>
      <w:r>
        <w:tab/>
      </w:r>
      <w:r w:rsidR="00270822">
        <w:t>Although the legislative hist</w:t>
      </w:r>
      <w:r w:rsidR="00914AE4">
        <w:t>ory supports our position, the D</w:t>
      </w:r>
      <w:r w:rsidR="00270822">
        <w:t xml:space="preserve">efendants may point to the fact that Barbara Ringer, the Register of Copyrights, argued in 1965 that “it would not be </w:t>
      </w:r>
      <w:r w:rsidR="00270822">
        <w:lastRenderedPageBreak/>
        <w:t>considered a ‘work made for hire’ if the contract were signed later on—after the work was written, for example.”</w:t>
      </w:r>
      <w:r w:rsidR="00270822" w:rsidRPr="00270822">
        <w:rPr>
          <w:i/>
        </w:rPr>
        <w:t xml:space="preserve"> </w:t>
      </w:r>
      <w:proofErr w:type="gramStart"/>
      <w:r w:rsidR="00270822">
        <w:rPr>
          <w:i/>
        </w:rPr>
        <w:t xml:space="preserve">Id. </w:t>
      </w:r>
      <w:r w:rsidR="00270822">
        <w:t>at 145.</w:t>
      </w:r>
      <w:proofErr w:type="gramEnd"/>
      <w:r w:rsidR="00270822">
        <w:t xml:space="preserve">  The Defendants will argue this is evidence that Congress intended to require that a written agreement precede creation of a work.  This argument fai</w:t>
      </w:r>
      <w:r w:rsidR="00E27F34">
        <w:t>ls because the Supreme Court established</w:t>
      </w:r>
      <w:r w:rsidR="00270822">
        <w:t xml:space="preserve"> these types of statements by representatives of an administrative agency are unreliable and not a highly desirable guide to statutory construction.  </w:t>
      </w:r>
      <w:proofErr w:type="gramStart"/>
      <w:r w:rsidR="00F0676D">
        <w:rPr>
          <w:i/>
        </w:rPr>
        <w:t xml:space="preserve">Am. Trucking </w:t>
      </w:r>
      <w:proofErr w:type="spellStart"/>
      <w:r w:rsidR="00F0676D">
        <w:rPr>
          <w:i/>
        </w:rPr>
        <w:t>Ass’n</w:t>
      </w:r>
      <w:r w:rsidR="00D819F1">
        <w:rPr>
          <w:i/>
        </w:rPr>
        <w:t>s</w:t>
      </w:r>
      <w:proofErr w:type="spellEnd"/>
      <w:r w:rsidR="00270822">
        <w:rPr>
          <w:i/>
        </w:rPr>
        <w:t xml:space="preserve"> v. Atchison, T. &amp; S. F. Ry. Co.,</w:t>
      </w:r>
      <w:r w:rsidR="00270822">
        <w:t xml:space="preserve"> 387 U.S. 397</w:t>
      </w:r>
      <w:r w:rsidR="00D819F1">
        <w:t>, 418</w:t>
      </w:r>
      <w:r w:rsidR="00270822">
        <w:t xml:space="preserve"> (1967).</w:t>
      </w:r>
      <w:proofErr w:type="gramEnd"/>
    </w:p>
    <w:p w14:paraId="0B44BBDB" w14:textId="77777777" w:rsidR="0002266A" w:rsidRDefault="00494104" w:rsidP="00FE6E55">
      <w:pPr>
        <w:tabs>
          <w:tab w:val="left" w:pos="-360"/>
        </w:tabs>
        <w:spacing w:line="480" w:lineRule="auto"/>
      </w:pPr>
      <w:r>
        <w:tab/>
        <w:t>In considering the intent of Congress, it is</w:t>
      </w:r>
      <w:r w:rsidR="005B157B">
        <w:t xml:space="preserve"> also</w:t>
      </w:r>
      <w:r>
        <w:t xml:space="preserve"> important to analyze these individual examples of legislative history within the context of the larger purpose of the legislation</w:t>
      </w:r>
      <w:r w:rsidR="005B157B">
        <w:t xml:space="preserve">. </w:t>
      </w:r>
      <w:r w:rsidR="00D819F1">
        <w:rPr>
          <w:i/>
        </w:rPr>
        <w:t xml:space="preserve">Graham </w:t>
      </w:r>
      <w:proofErr w:type="spellStart"/>
      <w:r w:rsidR="00D819F1">
        <w:rPr>
          <w:i/>
        </w:rPr>
        <w:t>Cnty</w:t>
      </w:r>
      <w:proofErr w:type="spellEnd"/>
      <w:r w:rsidR="00D819F1">
        <w:rPr>
          <w:i/>
        </w:rPr>
        <w:t>.</w:t>
      </w:r>
      <w:r w:rsidR="005B157B">
        <w:rPr>
          <w:i/>
        </w:rPr>
        <w:t xml:space="preserve"> </w:t>
      </w:r>
      <w:proofErr w:type="gramStart"/>
      <w:r w:rsidR="005B157B">
        <w:rPr>
          <w:i/>
        </w:rPr>
        <w:t xml:space="preserve">Soil &amp; </w:t>
      </w:r>
      <w:r w:rsidR="00D819F1">
        <w:rPr>
          <w:i/>
        </w:rPr>
        <w:t>Water Conservation Dist. v. United States</w:t>
      </w:r>
      <w:r w:rsidR="005B157B">
        <w:rPr>
          <w:i/>
        </w:rPr>
        <w:t xml:space="preserve"> ex rel. Wilson,</w:t>
      </w:r>
      <w:r w:rsidR="005B157B">
        <w:t xml:space="preserve"> 545 U.S. 409</w:t>
      </w:r>
      <w:r w:rsidR="00D819F1">
        <w:t>, 415</w:t>
      </w:r>
      <w:r w:rsidR="005B157B">
        <w:t xml:space="preserve"> (2005)</w:t>
      </w:r>
      <w:r>
        <w:t>.</w:t>
      </w:r>
      <w:proofErr w:type="gramEnd"/>
      <w:r>
        <w:t xml:space="preserve">  </w:t>
      </w:r>
      <w:proofErr w:type="gramStart"/>
      <w:r>
        <w:t xml:space="preserve">In </w:t>
      </w:r>
      <w:proofErr w:type="spellStart"/>
      <w:r w:rsidR="00D819F1">
        <w:rPr>
          <w:i/>
        </w:rPr>
        <w:t>Cmty</w:t>
      </w:r>
      <w:proofErr w:type="spellEnd"/>
      <w:r w:rsidR="00D819F1">
        <w:rPr>
          <w:i/>
        </w:rPr>
        <w:t>.</w:t>
      </w:r>
      <w:proofErr w:type="gramEnd"/>
      <w:r>
        <w:rPr>
          <w:i/>
        </w:rPr>
        <w:t xml:space="preserve"> </w:t>
      </w:r>
      <w:proofErr w:type="gramStart"/>
      <w:r>
        <w:rPr>
          <w:i/>
        </w:rPr>
        <w:t>for</w:t>
      </w:r>
      <w:proofErr w:type="gramEnd"/>
      <w:r>
        <w:rPr>
          <w:i/>
        </w:rPr>
        <w:t xml:space="preserve"> Creative Non-Violence v. Reid,</w:t>
      </w:r>
      <w:r>
        <w:t xml:space="preserve"> 490 U.S. 730, </w:t>
      </w:r>
      <w:r w:rsidR="00E27F34">
        <w:t>750 (1989), the Court stated</w:t>
      </w:r>
      <w:r>
        <w:t xml:space="preserve"> one of Congress’s goals in establishing the work-made-for-hire doctrine was to “ensure predictability through advance planning.”  This need for predictability is evidenced in 17 U.S.C. </w:t>
      </w:r>
      <w:r>
        <w:rPr>
          <w:rFonts w:ascii="Calibri" w:hAnsi="Calibri" w:cs="Calibri"/>
        </w:rPr>
        <w:t>§</w:t>
      </w:r>
      <w:r>
        <w:t xml:space="preserve"> 201(b) which establishes that in a work-made-for-hire situation, the employer or commissioning party is considered the author unless the parties “expressly agreed otherwise in a written ins</w:t>
      </w:r>
      <w:r w:rsidR="00F530AE">
        <w:t xml:space="preserve">trument signed by </w:t>
      </w:r>
      <w:proofErr w:type="gramStart"/>
      <w:r w:rsidR="00F530AE">
        <w:t>them.</w:t>
      </w:r>
      <w:proofErr w:type="gramEnd"/>
      <w:r w:rsidR="00F530AE">
        <w:t xml:space="preserve"> . </w:t>
      </w:r>
      <w:r>
        <w:t>.</w:t>
      </w:r>
      <w:r w:rsidR="00F530AE">
        <w:t xml:space="preserve"> .</w:t>
      </w:r>
      <w:r w:rsidR="004A3910">
        <w:t>”  A</w:t>
      </w:r>
      <w:r>
        <w:t xml:space="preserve">dhering to the default rule articulated in </w:t>
      </w:r>
      <w:r>
        <w:rPr>
          <w:rFonts w:ascii="Calibri" w:hAnsi="Calibri" w:cs="Calibri"/>
        </w:rPr>
        <w:t>§</w:t>
      </w:r>
      <w:r>
        <w:t xml:space="preserve"> 204(b) that the hiring party is always the author in a work-made-for-hire situation regardless of whether the written agreement is signed prior to or subsequ</w:t>
      </w:r>
      <w:r w:rsidR="00E42EDC">
        <w:t>ent to completion of the work</w:t>
      </w:r>
      <w:r w:rsidR="004A3910">
        <w:t xml:space="preserve"> enhances Congress’s goal of predictability</w:t>
      </w:r>
      <w:r w:rsidR="00E42EDC">
        <w:t>.  Allowing authorship to hinge on whether the written agreement is executed before or after creation contradicts the express goal of Congress.</w:t>
      </w:r>
    </w:p>
    <w:p w14:paraId="66E76592" w14:textId="77777777" w:rsidR="004E6022" w:rsidRDefault="009B7D4D" w:rsidP="00FE6E55">
      <w:pPr>
        <w:tabs>
          <w:tab w:val="left" w:pos="-360"/>
        </w:tabs>
        <w:spacing w:line="480" w:lineRule="auto"/>
      </w:pPr>
      <w:r>
        <w:tab/>
      </w:r>
      <w:r w:rsidR="004A3910">
        <w:t xml:space="preserve">It would be wrong to interpret the plain meaning of the 17 U.S.C. </w:t>
      </w:r>
      <w:r w:rsidR="004A3910">
        <w:rPr>
          <w:rFonts w:ascii="Calibri" w:hAnsi="Calibri" w:cs="Calibri"/>
        </w:rPr>
        <w:t>§</w:t>
      </w:r>
      <w:r w:rsidR="004A3910">
        <w:t xml:space="preserve"> 101(2) to require the written agreement be executed before creation because (1) there is no language to this effect in the statute and (2) </w:t>
      </w:r>
      <w:r w:rsidR="00CA1095">
        <w:t>there is evidence that a temporal agreement was considered and rejected (unlike other proposed changes) during</w:t>
      </w:r>
      <w:r>
        <w:t xml:space="preserve"> the decade of intense negotiation and compromise </w:t>
      </w:r>
      <w:r>
        <w:lastRenderedPageBreak/>
        <w:t>regarding the</w:t>
      </w:r>
      <w:r w:rsidR="00CA1095">
        <w:t xml:space="preserve"> provision’s</w:t>
      </w:r>
      <w:r>
        <w:t xml:space="preserve"> language.  As Rep. </w:t>
      </w:r>
      <w:proofErr w:type="spellStart"/>
      <w:r>
        <w:t>Railsback</w:t>
      </w:r>
      <w:proofErr w:type="spellEnd"/>
      <w:r>
        <w:t xml:space="preserve">, the ranking minority member on the House committee that produced the ultimate legislation, reminded the members on the House floor when addressing the bill: “These interests and that of the public have been fairly well balanced.  This balance, however, is a delicate one.  A change in any one sentence may tilt that balance in such a way so as to unravel the entire bill.”  </w:t>
      </w:r>
      <w:proofErr w:type="gramStart"/>
      <w:r>
        <w:t>122 Cong. Rec. 31977 (daily ed. Sept. 22, 1976).</w:t>
      </w:r>
      <w:proofErr w:type="gramEnd"/>
      <w:r w:rsidR="00F530AE">
        <w:t xml:space="preserve">  Therefore, the Court should respect the carefully balanced intentions of Congress and not add a temporal requirement to the language of the statute.</w:t>
      </w:r>
    </w:p>
    <w:p w14:paraId="563087E6" w14:textId="77777777" w:rsidR="004E6022" w:rsidRDefault="00F530AE" w:rsidP="00CB78F4">
      <w:pPr>
        <w:tabs>
          <w:tab w:val="left" w:pos="-360"/>
        </w:tabs>
        <w:spacing w:line="276" w:lineRule="auto"/>
        <w:rPr>
          <w:b/>
        </w:rPr>
      </w:pPr>
      <w:r>
        <w:rPr>
          <w:b/>
        </w:rPr>
        <w:t xml:space="preserve">C. Case law indicates </w:t>
      </w:r>
      <w:r w:rsidR="004E6022">
        <w:rPr>
          <w:b/>
        </w:rPr>
        <w:t>the writing should not be required before creation both as a matter of law and based on the facts of the case at hand.</w:t>
      </w:r>
    </w:p>
    <w:p w14:paraId="1EDA780B" w14:textId="77777777" w:rsidR="004E6022" w:rsidRPr="00374264" w:rsidRDefault="008F546C" w:rsidP="00FE6E55">
      <w:pPr>
        <w:tabs>
          <w:tab w:val="left" w:pos="-360"/>
        </w:tabs>
        <w:spacing w:line="480" w:lineRule="auto"/>
      </w:pPr>
      <w:r>
        <w:tab/>
        <w:t xml:space="preserve">In helping to determine the proper statutory interpretation, the Court should consider other </w:t>
      </w:r>
      <w:proofErr w:type="gramStart"/>
      <w:r>
        <w:t>cases which</w:t>
      </w:r>
      <w:proofErr w:type="gramEnd"/>
      <w:r>
        <w:t xml:space="preserve"> have attempted </w:t>
      </w:r>
      <w:r w:rsidR="00374264">
        <w:t>to interpret the same statute.</w:t>
      </w:r>
      <w:r>
        <w:t xml:space="preserve">  </w:t>
      </w:r>
      <w:r w:rsidR="001204C2">
        <w:t xml:space="preserve">Therefore, the question is </w:t>
      </w:r>
      <w:r w:rsidR="006E2E56">
        <w:t>whether other c</w:t>
      </w:r>
      <w:r w:rsidR="0089048A">
        <w:t>ourts have ruled that</w:t>
      </w:r>
      <w:r w:rsidR="006E2E56">
        <w:t xml:space="preserve"> the written agreement must be signed prior to creation of the work.  </w:t>
      </w:r>
      <w:r>
        <w:t xml:space="preserve">When case precedent supports one interpretation as a matter of law or based on the facts of the case at hand, the Court should adopt this interpretation.  </w:t>
      </w:r>
      <w:proofErr w:type="gramStart"/>
      <w:r w:rsidR="00374264">
        <w:rPr>
          <w:i/>
        </w:rPr>
        <w:t xml:space="preserve">Rivers v. Roadway Express, Inc., </w:t>
      </w:r>
      <w:r w:rsidR="00374264">
        <w:t>511 U.S. 298, 312-313 (1994).</w:t>
      </w:r>
      <w:proofErr w:type="gramEnd"/>
    </w:p>
    <w:p w14:paraId="3E3C10A4" w14:textId="77777777" w:rsidR="0090726C" w:rsidRDefault="00535A3B" w:rsidP="00FE6E55">
      <w:pPr>
        <w:tabs>
          <w:tab w:val="left" w:pos="-360"/>
        </w:tabs>
        <w:spacing w:line="480" w:lineRule="auto"/>
      </w:pPr>
      <w:r>
        <w:tab/>
      </w:r>
      <w:r w:rsidR="001F2180">
        <w:t>According to the Second Circuit Court of Appeals,</w:t>
      </w:r>
      <w:r>
        <w:t xml:space="preserve"> 17 U.S.C. </w:t>
      </w:r>
      <w:r>
        <w:rPr>
          <w:rFonts w:ascii="Calibri" w:hAnsi="Calibri" w:cs="Calibri"/>
        </w:rPr>
        <w:t>§</w:t>
      </w:r>
      <w:r>
        <w:t xml:space="preserve"> 101(2) allows the written agreement to be executed after the copyrighte</w:t>
      </w:r>
      <w:r w:rsidR="00D819F1">
        <w:t>d work has been created:</w:t>
      </w:r>
      <w:r w:rsidR="00374264">
        <w:t xml:space="preserve"> </w:t>
      </w:r>
      <w:r>
        <w:t xml:space="preserve">“The writing requirement can be met by a writing executed after the work is created, if the writing confirms a prior agreement, either explicit or implicit, made before the creation of the work.”  </w:t>
      </w:r>
      <w:r w:rsidR="00D819F1">
        <w:rPr>
          <w:i/>
        </w:rPr>
        <w:t xml:space="preserve">Playboy Enters. </w:t>
      </w:r>
      <w:proofErr w:type="gramStart"/>
      <w:r w:rsidR="00D819F1">
        <w:t>53 F.3d at 559.</w:t>
      </w:r>
      <w:proofErr w:type="gramEnd"/>
      <w:r>
        <w:t xml:space="preserve">  This </w:t>
      </w:r>
      <w:r w:rsidR="0028176D">
        <w:t>ruling applies to the facts of the</w:t>
      </w:r>
      <w:r>
        <w:t xml:space="preserve"> case at hand.  During the initial meeting between Nelson and Lime, before any work had started, Nelson </w:t>
      </w:r>
      <w:r w:rsidR="00374264">
        <w:t xml:space="preserve">said </w:t>
      </w:r>
      <w:r>
        <w:t xml:space="preserve">to Defendant Lime: “Your work on the screenplay is for hire.  For all intents and purposes, we’ll be the </w:t>
      </w:r>
      <w:proofErr w:type="gramStart"/>
      <w:r>
        <w:t>author</w:t>
      </w:r>
      <w:proofErr w:type="gramEnd"/>
      <w:r>
        <w:t xml:space="preserve">.  </w:t>
      </w:r>
      <w:proofErr w:type="spellStart"/>
      <w:r w:rsidRPr="001F2180">
        <w:t>Compl</w:t>
      </w:r>
      <w:proofErr w:type="spellEnd"/>
      <w:r w:rsidRPr="001F2180">
        <w:t>.</w:t>
      </w:r>
      <w:r>
        <w:t xml:space="preserve"> </w:t>
      </w:r>
      <w:r>
        <w:rPr>
          <w:rFonts w:ascii="Calibri" w:hAnsi="Calibri" w:cs="Calibri"/>
        </w:rPr>
        <w:t>¶</w:t>
      </w:r>
      <w:r>
        <w:t xml:space="preserve"> 16.  Nelson</w:t>
      </w:r>
      <w:r w:rsidR="00374264">
        <w:t xml:space="preserve"> </w:t>
      </w:r>
      <w:r>
        <w:t>t</w:t>
      </w:r>
      <w:r w:rsidR="00374264">
        <w:t>h</w:t>
      </w:r>
      <w:r>
        <w:t xml:space="preserve">en asked, “Do you understand, and is that OK with you?”  </w:t>
      </w:r>
      <w:r>
        <w:rPr>
          <w:i/>
        </w:rPr>
        <w:t xml:space="preserve">Id. </w:t>
      </w:r>
      <w:r>
        <w:t xml:space="preserve">In response, Defendant replied, “Yes.”  </w:t>
      </w:r>
      <w:proofErr w:type="gramStart"/>
      <w:r>
        <w:rPr>
          <w:i/>
        </w:rPr>
        <w:t>Id.</w:t>
      </w:r>
      <w:r>
        <w:t xml:space="preserve"> </w:t>
      </w:r>
      <w:r>
        <w:rPr>
          <w:rFonts w:ascii="Calibri" w:hAnsi="Calibri" w:cs="Calibri"/>
        </w:rPr>
        <w:t>¶</w:t>
      </w:r>
      <w:r>
        <w:t xml:space="preserve"> 17.</w:t>
      </w:r>
      <w:proofErr w:type="gramEnd"/>
      <w:r>
        <w:t xml:space="preserve">  On April 6, 2010, Defendant Lime signed a document </w:t>
      </w:r>
      <w:r>
        <w:lastRenderedPageBreak/>
        <w:t xml:space="preserve">labeled “Work-Made-For-Hire Agreement” which </w:t>
      </w:r>
      <w:proofErr w:type="gramStart"/>
      <w:r>
        <w:t>reiterated that</w:t>
      </w:r>
      <w:proofErr w:type="gramEnd"/>
      <w:r>
        <w:t xml:space="preserve"> “OGS TV is the author of the screenplay.”  </w:t>
      </w:r>
      <w:proofErr w:type="gramStart"/>
      <w:r>
        <w:rPr>
          <w:i/>
        </w:rPr>
        <w:t>Id.</w:t>
      </w:r>
      <w:r>
        <w:t xml:space="preserve"> </w:t>
      </w:r>
      <w:r>
        <w:rPr>
          <w:rFonts w:ascii="Calibri" w:hAnsi="Calibri" w:cs="Calibri"/>
        </w:rPr>
        <w:t>¶</w:t>
      </w:r>
      <w:r>
        <w:t xml:space="preserve"> 24.</w:t>
      </w:r>
      <w:proofErr w:type="gramEnd"/>
      <w:r>
        <w:t xml:space="preserve">  This </w:t>
      </w:r>
      <w:r w:rsidR="00374264">
        <w:t>document constitutes</w:t>
      </w:r>
      <w:r>
        <w:t xml:space="preserve"> the statutorily required written agreement </w:t>
      </w:r>
      <w:r w:rsidR="00720325">
        <w:t>formalizing</w:t>
      </w:r>
      <w:r>
        <w:t xml:space="preserve"> the explicit </w:t>
      </w:r>
      <w:r w:rsidR="001F73A7">
        <w:t xml:space="preserve">oral agreement made before </w:t>
      </w:r>
      <w:r>
        <w:t>creation of the work.  Therefore, under the precedent established by the Second Circuit, the written agreement between</w:t>
      </w:r>
      <w:r w:rsidR="008837EE">
        <w:t xml:space="preserve"> Plaintiff and Defendant is</w:t>
      </w:r>
      <w:r>
        <w:t xml:space="preserve"> a valid work-made-for-hire agreement.</w:t>
      </w:r>
      <w:r w:rsidR="00B047FF">
        <w:t xml:space="preserve">  </w:t>
      </w:r>
      <w:r w:rsidR="00B047FF">
        <w:rPr>
          <w:i/>
        </w:rPr>
        <w:t xml:space="preserve">Playboy Enters. </w:t>
      </w:r>
      <w:proofErr w:type="gramStart"/>
      <w:r w:rsidR="00B047FF">
        <w:t>53 F.3d at 559.</w:t>
      </w:r>
      <w:proofErr w:type="gramEnd"/>
    </w:p>
    <w:p w14:paraId="21574AD5" w14:textId="77777777" w:rsidR="00B047FF" w:rsidRDefault="0090726C" w:rsidP="00FE6E55">
      <w:pPr>
        <w:tabs>
          <w:tab w:val="left" w:pos="-360"/>
        </w:tabs>
        <w:spacing w:line="480" w:lineRule="auto"/>
      </w:pPr>
      <w:r>
        <w:tab/>
        <w:t>District courts in several other circuits have adopted the Second Circuit’s ruling in cases that are factually similar to the case at hand.  A district court in the Fifth Circuit sided with the Second Circuit stating, “because the Court finds that the Second Circuit’s rule appropriately allows for a flexible, case-by-case inquiry into the existence of a work-for-hire agreement, the Court adopts it….</w:t>
      </w:r>
      <w:proofErr w:type="gramStart"/>
      <w:r>
        <w:t xml:space="preserve">”  </w:t>
      </w:r>
      <w:proofErr w:type="gramEnd"/>
      <w:r w:rsidRPr="008C5DBF">
        <w:rPr>
          <w:i/>
        </w:rPr>
        <w:t xml:space="preserve">Compaq Computer Corp. v. </w:t>
      </w:r>
      <w:proofErr w:type="spellStart"/>
      <w:r w:rsidRPr="008C5DBF">
        <w:rPr>
          <w:i/>
        </w:rPr>
        <w:t>Ergonome</w:t>
      </w:r>
      <w:proofErr w:type="spellEnd"/>
      <w:r w:rsidRPr="008C5DBF">
        <w:rPr>
          <w:i/>
        </w:rPr>
        <w:t xml:space="preserve"> Inc.</w:t>
      </w:r>
      <w:r>
        <w:t xml:space="preserve">, 210 F. Supp. 2d 839, 843 (S.D. Tex. 2001).  Under this court’s analysis, the key question is whether the parties understood the work was made for hire at the time it was created.  </w:t>
      </w:r>
      <w:r>
        <w:rPr>
          <w:i/>
        </w:rPr>
        <w:t>Id.</w:t>
      </w:r>
      <w:r>
        <w:t xml:space="preserve">  The answer in the case at hand is yes; Nelson and Lime had an express oral agreement.  </w:t>
      </w:r>
      <w:proofErr w:type="spellStart"/>
      <w:r w:rsidRPr="005051B5">
        <w:t>Compl</w:t>
      </w:r>
      <w:proofErr w:type="spellEnd"/>
      <w:r w:rsidRPr="005051B5">
        <w:t>.</w:t>
      </w:r>
      <w:r>
        <w:t xml:space="preserve"> </w:t>
      </w:r>
      <w:r>
        <w:rPr>
          <w:rFonts w:ascii="Calibri" w:hAnsi="Calibri" w:cs="Calibri"/>
        </w:rPr>
        <w:t>¶</w:t>
      </w:r>
      <w:r w:rsidR="00D819F1">
        <w:rPr>
          <w:rFonts w:ascii="Calibri" w:hAnsi="Calibri" w:cs="Calibri"/>
        </w:rPr>
        <w:t>¶</w:t>
      </w:r>
      <w:r>
        <w:t xml:space="preserve"> 16-17.  </w:t>
      </w:r>
      <w:r w:rsidR="007D3C44">
        <w:t>The District C</w:t>
      </w:r>
      <w:r w:rsidR="0089048A">
        <w:t xml:space="preserve">ourt form the Fifth Circuit also </w:t>
      </w:r>
      <w:r w:rsidR="008837EE">
        <w:t>states</w:t>
      </w:r>
      <w:r w:rsidR="0089048A">
        <w:t xml:space="preserve"> </w:t>
      </w:r>
      <w:r w:rsidR="008837EE">
        <w:t>t</w:t>
      </w:r>
      <w:r w:rsidR="0089048A">
        <w:t xml:space="preserve">he Fifth Circuit has “deemed the Second Circuit to be ‘the </w:t>
      </w:r>
      <w:r w:rsidR="0089048A">
        <w:rPr>
          <w:i/>
        </w:rPr>
        <w:t>de facto</w:t>
      </w:r>
      <w:r w:rsidR="0089048A">
        <w:t xml:space="preserve"> Copyright Court of the United States,’</w:t>
      </w:r>
      <w:proofErr w:type="gramStart"/>
      <w:r w:rsidR="0089048A">
        <w:t xml:space="preserve">”  </w:t>
      </w:r>
      <w:r w:rsidR="0089048A">
        <w:rPr>
          <w:i/>
        </w:rPr>
        <w:t>Compaq</w:t>
      </w:r>
      <w:proofErr w:type="gramEnd"/>
      <w:r w:rsidR="0089048A">
        <w:t>, 210 F. Supp. 2d at 843.  The Second Circuit’s</w:t>
      </w:r>
      <w:r>
        <w:t xml:space="preserve"> reasoning is</w:t>
      </w:r>
      <w:r w:rsidR="008837EE">
        <w:t xml:space="preserve"> also adopted in a decision by the District Court of</w:t>
      </w:r>
      <w:r>
        <w:t xml:space="preserve"> Massachusetts: “A writing executed after the work’s creation that confirms a prior agreement may suffice but it must mention a ‘work made for hire’ relationship and must be signed by both parties.”  </w:t>
      </w:r>
      <w:proofErr w:type="gramStart"/>
      <w:r>
        <w:rPr>
          <w:i/>
        </w:rPr>
        <w:t xml:space="preserve">Homeowner Options for Mass. Elders, Inc. v. Brookline Bancorp, Inc. </w:t>
      </w:r>
      <w:r>
        <w:t>754 F. Supp. 2d 201, 208 (D. Mass., 2010).</w:t>
      </w:r>
      <w:proofErr w:type="gramEnd"/>
      <w:r>
        <w:t xml:space="preserve">  </w:t>
      </w:r>
    </w:p>
    <w:p w14:paraId="2CDE8C65" w14:textId="77777777" w:rsidR="004F552E" w:rsidRPr="00720325" w:rsidRDefault="00867534" w:rsidP="00FE6E55">
      <w:pPr>
        <w:tabs>
          <w:tab w:val="left" w:pos="-360"/>
        </w:tabs>
        <w:spacing w:line="480" w:lineRule="auto"/>
      </w:pPr>
      <w:r>
        <w:tab/>
      </w:r>
      <w:r w:rsidR="006E2E56">
        <w:t>T</w:t>
      </w:r>
      <w:r w:rsidR="0028176D">
        <w:t xml:space="preserve">he Defendants will argue the court should adopt the rule established by </w:t>
      </w:r>
      <w:r w:rsidR="001F73A7">
        <w:t>t</w:t>
      </w:r>
      <w:r>
        <w:t>he Seventh Circuit</w:t>
      </w:r>
      <w:r w:rsidR="0028176D">
        <w:t xml:space="preserve"> that</w:t>
      </w:r>
      <w:r w:rsidR="004F552E">
        <w:t xml:space="preserve"> the parties must sign the written agreement before the work is created for the work-made</w:t>
      </w:r>
      <w:r w:rsidR="0028176D">
        <w:t>-for-hire agreement to be valid</w:t>
      </w:r>
      <w:r w:rsidR="0082259F">
        <w:t>.</w:t>
      </w:r>
      <w:r w:rsidR="004F552E">
        <w:t xml:space="preserve"> </w:t>
      </w:r>
      <w:r w:rsidR="0082259F">
        <w:t xml:space="preserve"> </w:t>
      </w:r>
      <w:r w:rsidR="004F552E">
        <w:rPr>
          <w:i/>
        </w:rPr>
        <w:t xml:space="preserve">Schiller &amp; Schmidt, Inc. v. </w:t>
      </w:r>
      <w:proofErr w:type="spellStart"/>
      <w:r w:rsidR="004F552E">
        <w:rPr>
          <w:i/>
        </w:rPr>
        <w:t>Nordisco</w:t>
      </w:r>
      <w:proofErr w:type="spellEnd"/>
      <w:r w:rsidR="004F552E">
        <w:rPr>
          <w:i/>
        </w:rPr>
        <w:t xml:space="preserve"> Corp.,</w:t>
      </w:r>
      <w:r w:rsidR="004F552E">
        <w:t xml:space="preserve"> 969 F.2d 410, </w:t>
      </w:r>
      <w:r w:rsidR="004F552E">
        <w:lastRenderedPageBreak/>
        <w:t>413 (7</w:t>
      </w:r>
      <w:r w:rsidR="004F552E" w:rsidRPr="00125D80">
        <w:rPr>
          <w:vertAlign w:val="superscript"/>
        </w:rPr>
        <w:t>th</w:t>
      </w:r>
      <w:r w:rsidR="006E2E56">
        <w:t xml:space="preserve"> Cir. 1992).  However,</w:t>
      </w:r>
      <w:r w:rsidR="004F552E">
        <w:t xml:space="preserve"> </w:t>
      </w:r>
      <w:r w:rsidR="004F552E">
        <w:rPr>
          <w:i/>
        </w:rPr>
        <w:t>Schiller &amp; Schmidt</w:t>
      </w:r>
      <w:r w:rsidR="004F552E">
        <w:t xml:space="preserve"> is distinguished from the present case for several reasons.  First, the written agreement in </w:t>
      </w:r>
      <w:r w:rsidR="004F552E">
        <w:rPr>
          <w:i/>
        </w:rPr>
        <w:t>Schiller &amp; Schmidt</w:t>
      </w:r>
      <w:r w:rsidR="004F552E">
        <w:t xml:space="preserve"> was void regardless of when it was executed because </w:t>
      </w:r>
      <w:proofErr w:type="gramStart"/>
      <w:r w:rsidR="004F552E">
        <w:t>it was not signed by both parties as required by statute</w:t>
      </w:r>
      <w:proofErr w:type="gramEnd"/>
      <w:r w:rsidR="004F552E">
        <w:t xml:space="preserve">.  17 U.S.C. </w:t>
      </w:r>
      <w:r w:rsidR="004F552E">
        <w:rPr>
          <w:rFonts w:ascii="Calibri" w:hAnsi="Calibri" w:cs="Calibri"/>
        </w:rPr>
        <w:t>§</w:t>
      </w:r>
      <w:r w:rsidR="001F2180">
        <w:t xml:space="preserve"> 101(2)</w:t>
      </w:r>
      <w:r w:rsidR="001F2180" w:rsidRPr="001F2180">
        <w:t xml:space="preserve"> </w:t>
      </w:r>
      <w:r w:rsidR="001F2180">
        <w:t xml:space="preserve">(“…if the parties expressly agree in a written instrument signed by </w:t>
      </w:r>
      <w:r w:rsidR="001F2180" w:rsidRPr="004F552E">
        <w:rPr>
          <w:i/>
        </w:rPr>
        <w:t>them</w:t>
      </w:r>
      <w:r w:rsidR="001F2180">
        <w:t>….” [</w:t>
      </w:r>
      <w:proofErr w:type="gramStart"/>
      <w:r w:rsidR="001F2180">
        <w:t>emphasis</w:t>
      </w:r>
      <w:proofErr w:type="gramEnd"/>
      <w:r w:rsidR="001F2180">
        <w:t xml:space="preserve"> added]</w:t>
      </w:r>
      <w:r w:rsidR="004F552E">
        <w:t>)</w:t>
      </w:r>
      <w:r w:rsidR="001F2180">
        <w:t>.</w:t>
      </w:r>
      <w:r w:rsidR="004F552E">
        <w:t xml:space="preserve">  Therefore, because the written agreement was void to begin with, the court’s discussion on the timing of th</w:t>
      </w:r>
      <w:r w:rsidR="00720325">
        <w:t>e signed agreement is mere dictum and settles nothing</w:t>
      </w:r>
      <w:r w:rsidR="004F552E">
        <w:t xml:space="preserve">.  </w:t>
      </w:r>
      <w:proofErr w:type="spellStart"/>
      <w:proofErr w:type="gramStart"/>
      <w:r w:rsidR="00720325">
        <w:rPr>
          <w:i/>
        </w:rPr>
        <w:t>Jama</w:t>
      </w:r>
      <w:proofErr w:type="spellEnd"/>
      <w:r w:rsidR="00720325">
        <w:rPr>
          <w:i/>
        </w:rPr>
        <w:t xml:space="preserve"> v. Immigration and Customs Enforcement</w:t>
      </w:r>
      <w:r w:rsidR="00720325">
        <w:t>, 543 U.S. 335, 351 (2005).</w:t>
      </w:r>
      <w:proofErr w:type="gramEnd"/>
    </w:p>
    <w:p w14:paraId="70BCCF50" w14:textId="77777777" w:rsidR="00312207" w:rsidRDefault="004F552E" w:rsidP="00312207">
      <w:pPr>
        <w:spacing w:line="480" w:lineRule="auto"/>
      </w:pPr>
      <w:r>
        <w:tab/>
        <w:t xml:space="preserve">Second, there is an important factual distinction between the case at hand and </w:t>
      </w:r>
      <w:r>
        <w:rPr>
          <w:i/>
        </w:rPr>
        <w:t>Schiller &amp; Schmidt</w:t>
      </w:r>
      <w:r>
        <w:t xml:space="preserve">.  In </w:t>
      </w:r>
      <w:r>
        <w:rPr>
          <w:i/>
        </w:rPr>
        <w:t>Schiller &amp; Schmidt</w:t>
      </w:r>
      <w:r w:rsidR="00B4307A">
        <w:t xml:space="preserve">, </w:t>
      </w:r>
      <w:r>
        <w:t xml:space="preserve">no express oral agreement regarding the work-made-for-hire situation </w:t>
      </w:r>
      <w:r w:rsidR="001C1795">
        <w:t xml:space="preserve">existed </w:t>
      </w:r>
      <w:r>
        <w:t>prior to creation of the work.</w:t>
      </w:r>
      <w:r w:rsidR="00B4307A">
        <w:t xml:space="preserve">  </w:t>
      </w:r>
      <w:proofErr w:type="gramStart"/>
      <w:r w:rsidR="00B4307A">
        <w:rPr>
          <w:i/>
        </w:rPr>
        <w:t>Schiller &amp; Schmidt</w:t>
      </w:r>
      <w:r w:rsidR="00B4307A">
        <w:t>, 969 F.2d at 412.</w:t>
      </w:r>
      <w:proofErr w:type="gramEnd"/>
      <w:r>
        <w:t xml:space="preserve">  </w:t>
      </w:r>
      <w:proofErr w:type="gramStart"/>
      <w:r>
        <w:t xml:space="preserve">Therefore, the Second Circuit’s decision in </w:t>
      </w:r>
      <w:r>
        <w:rPr>
          <w:i/>
        </w:rPr>
        <w:t>Playboy Enters.</w:t>
      </w:r>
      <w:proofErr w:type="gramEnd"/>
      <w:r>
        <w:t xml:space="preserve"> </w:t>
      </w:r>
      <w:proofErr w:type="gramStart"/>
      <w:r>
        <w:t>is</w:t>
      </w:r>
      <w:proofErr w:type="gramEnd"/>
      <w:r>
        <w:t xml:space="preserve"> </w:t>
      </w:r>
      <w:r w:rsidR="00720325">
        <w:t xml:space="preserve">factually </w:t>
      </w:r>
      <w:r>
        <w:t xml:space="preserve">more similar to the case at hand </w:t>
      </w:r>
      <w:r w:rsidR="001C1795">
        <w:t>because both contain</w:t>
      </w:r>
      <w:r w:rsidR="00720325">
        <w:t xml:space="preserve"> a</w:t>
      </w:r>
      <w:r>
        <w:t xml:space="preserve"> prior oral agreement.  The Seventh Circuit </w:t>
      </w:r>
      <w:r w:rsidR="001F2180">
        <w:t xml:space="preserve">also </w:t>
      </w:r>
      <w:r>
        <w:t xml:space="preserve">argues there is a statute of frauds rationale for requiring the written agreement </w:t>
      </w:r>
      <w:proofErr w:type="gramStart"/>
      <w:r>
        <w:t>be</w:t>
      </w:r>
      <w:proofErr w:type="gramEnd"/>
      <w:r>
        <w:t xml:space="preserve"> executed before the work begins.  </w:t>
      </w:r>
      <w:r w:rsidR="00B4307A">
        <w:rPr>
          <w:i/>
        </w:rPr>
        <w:t>Id</w:t>
      </w:r>
      <w:r w:rsidR="00312207">
        <w:t xml:space="preserve">.  However, there are only certain instances in which the statute of frauds applies: </w:t>
      </w:r>
    </w:p>
    <w:p w14:paraId="166A1AFD" w14:textId="77777777" w:rsidR="00312207" w:rsidRDefault="00312207" w:rsidP="00312207">
      <w:pPr>
        <w:spacing w:line="480" w:lineRule="auto"/>
        <w:ind w:left="720"/>
        <w:rPr>
          <w:snapToGrid/>
          <w:szCs w:val="24"/>
        </w:rPr>
      </w:pPr>
      <w:r w:rsidRPr="00312207">
        <w:t>“</w:t>
      </w:r>
      <w:r w:rsidRPr="00312207">
        <w:rPr>
          <w:bCs/>
          <w:snapToGrid/>
          <w:szCs w:val="24"/>
        </w:rPr>
        <w:t xml:space="preserve">(a) </w:t>
      </w:r>
      <w:proofErr w:type="gramStart"/>
      <w:r w:rsidRPr="00312207">
        <w:rPr>
          <w:bCs/>
          <w:snapToGrid/>
          <w:szCs w:val="24"/>
        </w:rPr>
        <w:t>a</w:t>
      </w:r>
      <w:proofErr w:type="gramEnd"/>
      <w:r w:rsidRPr="00312207">
        <w:rPr>
          <w:bCs/>
          <w:snapToGrid/>
          <w:szCs w:val="24"/>
        </w:rPr>
        <w:t xml:space="preserve"> contract of an executor or administrator to answer for a duty of his decedent (the executor-administrator provision);</w:t>
      </w:r>
      <w:r>
        <w:rPr>
          <w:snapToGrid/>
          <w:szCs w:val="24"/>
        </w:rPr>
        <w:t xml:space="preserve"> </w:t>
      </w:r>
      <w:r w:rsidRPr="00312207">
        <w:rPr>
          <w:bCs/>
          <w:snapToGrid/>
          <w:szCs w:val="24"/>
        </w:rPr>
        <w:t xml:space="preserve">(b) a contract to answer for the duty of another (the </w:t>
      </w:r>
      <w:proofErr w:type="spellStart"/>
      <w:r w:rsidRPr="00312207">
        <w:rPr>
          <w:bCs/>
          <w:snapToGrid/>
          <w:szCs w:val="24"/>
        </w:rPr>
        <w:t>suretyship</w:t>
      </w:r>
      <w:proofErr w:type="spellEnd"/>
      <w:r w:rsidRPr="00312207">
        <w:rPr>
          <w:bCs/>
          <w:snapToGrid/>
          <w:szCs w:val="24"/>
        </w:rPr>
        <w:t xml:space="preserve"> provision);</w:t>
      </w:r>
      <w:r>
        <w:rPr>
          <w:snapToGrid/>
          <w:szCs w:val="24"/>
        </w:rPr>
        <w:t xml:space="preserve"> </w:t>
      </w:r>
      <w:r w:rsidRPr="00312207">
        <w:rPr>
          <w:bCs/>
          <w:snapToGrid/>
          <w:szCs w:val="24"/>
        </w:rPr>
        <w:t>(c) a contract made upon consideration of marriage (the marriage provision);</w:t>
      </w:r>
      <w:r>
        <w:rPr>
          <w:snapToGrid/>
          <w:szCs w:val="24"/>
        </w:rPr>
        <w:t xml:space="preserve"> </w:t>
      </w:r>
      <w:r w:rsidRPr="00312207">
        <w:rPr>
          <w:bCs/>
          <w:snapToGrid/>
          <w:szCs w:val="24"/>
        </w:rPr>
        <w:t>(d) a contract for the sale of an interest in land (the land contract provision);</w:t>
      </w:r>
      <w:r>
        <w:rPr>
          <w:snapToGrid/>
          <w:szCs w:val="24"/>
        </w:rPr>
        <w:t xml:space="preserve"> </w:t>
      </w:r>
      <w:r w:rsidRPr="00312207">
        <w:rPr>
          <w:bCs/>
          <w:snapToGrid/>
          <w:szCs w:val="24"/>
        </w:rPr>
        <w:t>(e) a contract that is not to be performed within one year from the making thereof (the one-year provision).</w:t>
      </w:r>
      <w:r>
        <w:rPr>
          <w:snapToGrid/>
          <w:szCs w:val="24"/>
        </w:rPr>
        <w:t xml:space="preserve">”  </w:t>
      </w:r>
      <w:proofErr w:type="gramStart"/>
      <w:r w:rsidRPr="00312207">
        <w:rPr>
          <w:i/>
          <w:snapToGrid/>
          <w:szCs w:val="24"/>
        </w:rPr>
        <w:t>Restatement (Second) of Contracts</w:t>
      </w:r>
      <w:r w:rsidRPr="00312207">
        <w:rPr>
          <w:snapToGrid/>
          <w:szCs w:val="24"/>
        </w:rPr>
        <w:t xml:space="preserve"> § 110 (1981)</w:t>
      </w:r>
      <w:r>
        <w:rPr>
          <w:snapToGrid/>
          <w:szCs w:val="24"/>
        </w:rPr>
        <w:t>.</w:t>
      </w:r>
      <w:proofErr w:type="gramEnd"/>
    </w:p>
    <w:p w14:paraId="7F9A172D" w14:textId="77777777" w:rsidR="00312207" w:rsidRDefault="00312207" w:rsidP="00312207">
      <w:pPr>
        <w:spacing w:line="480" w:lineRule="auto"/>
        <w:rPr>
          <w:snapToGrid/>
          <w:szCs w:val="24"/>
        </w:rPr>
      </w:pPr>
      <w:r>
        <w:rPr>
          <w:snapToGrid/>
          <w:szCs w:val="24"/>
        </w:rPr>
        <w:t xml:space="preserve">The only instance that could possibly apply to a work-made-for-hire situation is the one-year provision.  However, </w:t>
      </w:r>
      <w:r w:rsidR="00967BEF">
        <w:rPr>
          <w:snapToGrid/>
          <w:szCs w:val="24"/>
        </w:rPr>
        <w:t>because the contract</w:t>
      </w:r>
      <w:r w:rsidR="001C1795">
        <w:rPr>
          <w:snapToGrid/>
          <w:szCs w:val="24"/>
        </w:rPr>
        <w:t xml:space="preserve"> in the case at hand</w:t>
      </w:r>
      <w:r w:rsidR="00967BEF">
        <w:rPr>
          <w:snapToGrid/>
          <w:szCs w:val="24"/>
        </w:rPr>
        <w:t xml:space="preserve"> could be performed within one year, </w:t>
      </w:r>
      <w:r w:rsidR="001C1795">
        <w:rPr>
          <w:snapToGrid/>
          <w:szCs w:val="24"/>
        </w:rPr>
        <w:t>it</w:t>
      </w:r>
      <w:r>
        <w:rPr>
          <w:snapToGrid/>
          <w:szCs w:val="24"/>
        </w:rPr>
        <w:t xml:space="preserve"> does not fall within the statute of frauds</w:t>
      </w:r>
      <w:r w:rsidR="001C1795">
        <w:rPr>
          <w:snapToGrid/>
          <w:szCs w:val="24"/>
        </w:rPr>
        <w:t xml:space="preserve"> according to the rule</w:t>
      </w:r>
      <w:r>
        <w:rPr>
          <w:snapToGrid/>
          <w:szCs w:val="24"/>
        </w:rPr>
        <w:t>.</w:t>
      </w:r>
      <w:r w:rsidR="00720325">
        <w:rPr>
          <w:snapToGrid/>
          <w:szCs w:val="24"/>
        </w:rPr>
        <w:t xml:space="preserve">  Therefore, the statute of </w:t>
      </w:r>
      <w:r w:rsidR="00720325">
        <w:rPr>
          <w:snapToGrid/>
          <w:szCs w:val="24"/>
        </w:rPr>
        <w:lastRenderedPageBreak/>
        <w:t>frauds rationale for requiring a prior written agreement is baseless.</w:t>
      </w:r>
    </w:p>
    <w:p w14:paraId="55780D30" w14:textId="77777777" w:rsidR="00FE27AA" w:rsidRDefault="00312207" w:rsidP="00312207">
      <w:pPr>
        <w:spacing w:line="480" w:lineRule="auto"/>
        <w:rPr>
          <w:snapToGrid/>
          <w:szCs w:val="24"/>
        </w:rPr>
      </w:pPr>
      <w:r>
        <w:rPr>
          <w:snapToGrid/>
          <w:szCs w:val="24"/>
        </w:rPr>
        <w:tab/>
      </w:r>
      <w:r w:rsidR="00DD580E">
        <w:rPr>
          <w:snapToGrid/>
          <w:szCs w:val="24"/>
        </w:rPr>
        <w:t>The Seventh Circuit also states t</w:t>
      </w:r>
      <w:r w:rsidR="001C1795">
        <w:rPr>
          <w:snapToGrid/>
          <w:szCs w:val="24"/>
        </w:rPr>
        <w:t>he</w:t>
      </w:r>
      <w:r w:rsidR="00DD580E">
        <w:rPr>
          <w:snapToGrid/>
          <w:szCs w:val="24"/>
        </w:rPr>
        <w:t xml:space="preserve"> work-for-hire statute serves another goal—“to make the ownership of property rights in intellectual property clear and definite, so that such property will be readily marketable.”  </w:t>
      </w:r>
      <w:proofErr w:type="gramStart"/>
      <w:r w:rsidR="00DD580E">
        <w:rPr>
          <w:i/>
          <w:snapToGrid/>
          <w:szCs w:val="24"/>
        </w:rPr>
        <w:t>Schiller &amp; Schmidt</w:t>
      </w:r>
      <w:r w:rsidR="00DD580E">
        <w:rPr>
          <w:snapToGrid/>
          <w:szCs w:val="24"/>
        </w:rPr>
        <w:t xml:space="preserve">, </w:t>
      </w:r>
      <w:r w:rsidR="00720325">
        <w:rPr>
          <w:snapToGrid/>
          <w:szCs w:val="24"/>
        </w:rPr>
        <w:t xml:space="preserve">969 </w:t>
      </w:r>
      <w:r w:rsidR="00DD580E">
        <w:rPr>
          <w:snapToGrid/>
          <w:szCs w:val="24"/>
        </w:rPr>
        <w:t>F.2d at 412.</w:t>
      </w:r>
      <w:proofErr w:type="gramEnd"/>
      <w:r w:rsidR="00DD580E">
        <w:rPr>
          <w:snapToGrid/>
          <w:szCs w:val="24"/>
        </w:rPr>
        <w:t xml:space="preserve">  The court believes this goal can only be served if the written agreement is executed prior to creation.  </w:t>
      </w:r>
      <w:r w:rsidR="00DD580E">
        <w:rPr>
          <w:i/>
          <w:snapToGrid/>
          <w:szCs w:val="24"/>
        </w:rPr>
        <w:t>Id.</w:t>
      </w:r>
      <w:r w:rsidR="00DD580E">
        <w:rPr>
          <w:snapToGrid/>
          <w:szCs w:val="24"/>
        </w:rPr>
        <w:t xml:space="preserve">  </w:t>
      </w:r>
      <w:r w:rsidR="001F1050">
        <w:rPr>
          <w:snapToGrid/>
          <w:szCs w:val="24"/>
        </w:rPr>
        <w:t xml:space="preserve">However, in the case at hand, there was a clear and definite oral agreement between Nelson and Lime before creation.  </w:t>
      </w:r>
      <w:proofErr w:type="spellStart"/>
      <w:r w:rsidR="001F1050" w:rsidRPr="005051B5">
        <w:rPr>
          <w:snapToGrid/>
          <w:szCs w:val="24"/>
        </w:rPr>
        <w:t>Compl</w:t>
      </w:r>
      <w:proofErr w:type="spellEnd"/>
      <w:r w:rsidR="001F1050" w:rsidRPr="005051B5">
        <w:rPr>
          <w:snapToGrid/>
          <w:szCs w:val="24"/>
        </w:rPr>
        <w:t>.</w:t>
      </w:r>
      <w:r w:rsidR="001F1050">
        <w:rPr>
          <w:snapToGrid/>
          <w:szCs w:val="24"/>
        </w:rPr>
        <w:t xml:space="preserve"> </w:t>
      </w:r>
      <w:r w:rsidR="001F1050">
        <w:rPr>
          <w:rFonts w:ascii="Calibri" w:hAnsi="Calibri" w:cs="Calibri"/>
          <w:snapToGrid/>
          <w:szCs w:val="24"/>
        </w:rPr>
        <w:t>¶</w:t>
      </w:r>
      <w:r w:rsidR="001C1795">
        <w:rPr>
          <w:rFonts w:ascii="Calibri" w:hAnsi="Calibri" w:cs="Calibri"/>
          <w:snapToGrid/>
          <w:szCs w:val="24"/>
        </w:rPr>
        <w:t>¶</w:t>
      </w:r>
      <w:r w:rsidR="001F1050">
        <w:rPr>
          <w:snapToGrid/>
          <w:szCs w:val="24"/>
        </w:rPr>
        <w:t xml:space="preserve"> 16-17.  There is no indication of confusion among the parties about who will be considered the author.  In this case, given the tight timeline, </w:t>
      </w:r>
      <w:r w:rsidR="001C1795">
        <w:rPr>
          <w:snapToGrid/>
          <w:szCs w:val="24"/>
        </w:rPr>
        <w:t xml:space="preserve">agreeing to the terms orally and allowing Lime to begin writing right away rather than waiting for the written agreement to be drafted best serves </w:t>
      </w:r>
      <w:r w:rsidR="001F1050">
        <w:rPr>
          <w:snapToGrid/>
          <w:szCs w:val="24"/>
        </w:rPr>
        <w:t>the objective of making the property “readily marketable</w:t>
      </w:r>
      <w:r w:rsidR="001C1795">
        <w:rPr>
          <w:snapToGrid/>
          <w:szCs w:val="24"/>
        </w:rPr>
        <w:t>.</w:t>
      </w:r>
      <w:r w:rsidR="001F1050">
        <w:rPr>
          <w:snapToGrid/>
          <w:szCs w:val="24"/>
        </w:rPr>
        <w:t xml:space="preserve">”  </w:t>
      </w:r>
      <w:r w:rsidR="001C1795">
        <w:rPr>
          <w:snapToGrid/>
          <w:szCs w:val="24"/>
        </w:rPr>
        <w:t>I</w:t>
      </w:r>
      <w:r w:rsidR="001F1050">
        <w:rPr>
          <w:snapToGrid/>
          <w:szCs w:val="24"/>
        </w:rPr>
        <w:t>f the Seventh Circuit’s decision is adopted, the requirement that the written agreement be signed prior to creation could frustrate the goals of the marketplace.  One can imagine the frequent need for companies to contact writers on short deadline for a commissioned work like we see in the case at hand.  These two parties should be a</w:t>
      </w:r>
      <w:r w:rsidR="00720325">
        <w:rPr>
          <w:snapToGrid/>
          <w:szCs w:val="24"/>
        </w:rPr>
        <w:t>ble to agree to terms orally</w:t>
      </w:r>
      <w:r w:rsidR="001C1795">
        <w:rPr>
          <w:snapToGrid/>
          <w:szCs w:val="24"/>
        </w:rPr>
        <w:t>,</w:t>
      </w:r>
      <w:r w:rsidR="001F1050">
        <w:rPr>
          <w:snapToGrid/>
          <w:szCs w:val="24"/>
        </w:rPr>
        <w:t xml:space="preserve"> allow</w:t>
      </w:r>
      <w:r w:rsidR="00720325">
        <w:rPr>
          <w:snapToGrid/>
          <w:szCs w:val="24"/>
        </w:rPr>
        <w:t>ing</w:t>
      </w:r>
      <w:r w:rsidR="001F1050">
        <w:rPr>
          <w:snapToGrid/>
          <w:szCs w:val="24"/>
        </w:rPr>
        <w:t xml:space="preserve"> the writer to begin work promptly without the delay of waiting for lawyers to draw up the necessary paperwork.  </w:t>
      </w:r>
      <w:proofErr w:type="spellStart"/>
      <w:r w:rsidR="001F1050" w:rsidRPr="00720325">
        <w:rPr>
          <w:i/>
          <w:snapToGrid/>
          <w:szCs w:val="24"/>
        </w:rPr>
        <w:t>Nimmer</w:t>
      </w:r>
      <w:proofErr w:type="spellEnd"/>
      <w:r w:rsidR="001F1050" w:rsidRPr="00720325">
        <w:rPr>
          <w:i/>
          <w:snapToGrid/>
          <w:szCs w:val="24"/>
        </w:rPr>
        <w:t xml:space="preserve"> on Copyrights</w:t>
      </w:r>
      <w:r w:rsidR="001F1050">
        <w:rPr>
          <w:snapToGrid/>
          <w:szCs w:val="24"/>
        </w:rPr>
        <w:t xml:space="preserve"> </w:t>
      </w:r>
      <w:r w:rsidR="00FE27AA">
        <w:rPr>
          <w:snapToGrid/>
          <w:szCs w:val="24"/>
        </w:rPr>
        <w:t>supports this line of reasoning:</w:t>
      </w:r>
    </w:p>
    <w:p w14:paraId="799EBD61" w14:textId="77777777" w:rsidR="007D3C44" w:rsidRDefault="001F1050" w:rsidP="007D3C44">
      <w:pPr>
        <w:spacing w:line="276" w:lineRule="auto"/>
        <w:ind w:left="720"/>
        <w:rPr>
          <w:snapToGrid/>
          <w:szCs w:val="24"/>
        </w:rPr>
      </w:pPr>
      <w:r>
        <w:rPr>
          <w:snapToGrid/>
          <w:szCs w:val="24"/>
        </w:rPr>
        <w:t>“One can also imagine claims involving parties each of who</w:t>
      </w:r>
      <w:r w:rsidR="00720325">
        <w:rPr>
          <w:snapToGrid/>
          <w:szCs w:val="24"/>
        </w:rPr>
        <w:t>m</w:t>
      </w:r>
      <w:r>
        <w:rPr>
          <w:snapToGrid/>
          <w:szCs w:val="24"/>
        </w:rPr>
        <w:t xml:space="preserve"> knew of the unanimous intent among all concerned that the work for hire doctrine would apply, notwithstanding that some of the paperwork remained not fully executed until after creation of the subject work.  In that latter circumstance, the bright line rule [requiring a prior written agreement] could frustrate the intent of the parties, and cloud rather than serve the goal of certainty.”  </w:t>
      </w:r>
    </w:p>
    <w:p w14:paraId="59D4355D" w14:textId="77777777" w:rsidR="007D3C44" w:rsidRDefault="007D3C44" w:rsidP="007D3C44">
      <w:pPr>
        <w:spacing w:line="276" w:lineRule="auto"/>
        <w:rPr>
          <w:snapToGrid/>
          <w:szCs w:val="24"/>
        </w:rPr>
      </w:pPr>
    </w:p>
    <w:p w14:paraId="3D1005D4" w14:textId="77777777" w:rsidR="00312207" w:rsidRDefault="00FE27AA" w:rsidP="00312207">
      <w:pPr>
        <w:spacing w:line="480" w:lineRule="auto"/>
      </w:pPr>
      <w:proofErr w:type="spellStart"/>
      <w:proofErr w:type="gramStart"/>
      <w:r>
        <w:rPr>
          <w:i/>
        </w:rPr>
        <w:t>Nimmer</w:t>
      </w:r>
      <w:proofErr w:type="spellEnd"/>
      <w:r>
        <w:rPr>
          <w:i/>
        </w:rPr>
        <w:t xml:space="preserve"> on Copyright,</w:t>
      </w:r>
      <w:r>
        <w:t xml:space="preserve"> </w:t>
      </w:r>
      <w:r>
        <w:rPr>
          <w:rFonts w:cstheme="minorHAnsi"/>
        </w:rPr>
        <w:t>§</w:t>
      </w:r>
      <w:r>
        <w:t xml:space="preserve"> 5.03[B][2][b], at 5-56.</w:t>
      </w:r>
      <w:proofErr w:type="gramEnd"/>
      <w:r>
        <w:t xml:space="preserve">  This is exactly the type of fact pattern presented in the case at hand—unanimous intent that only nee</w:t>
      </w:r>
      <w:r w:rsidR="00720325">
        <w:t>ds to be formalized by signing the</w:t>
      </w:r>
      <w:r>
        <w:t xml:space="preserve"> paperwork.</w:t>
      </w:r>
    </w:p>
    <w:p w14:paraId="2ABC7613" w14:textId="77777777" w:rsidR="00E34B4F" w:rsidRDefault="00E7358C" w:rsidP="00312207">
      <w:pPr>
        <w:spacing w:line="480" w:lineRule="auto"/>
      </w:pPr>
      <w:r>
        <w:lastRenderedPageBreak/>
        <w:tab/>
        <w:t xml:space="preserve">A similar distinction applies to the Ninth Circuit’s holding in </w:t>
      </w:r>
      <w:proofErr w:type="spellStart"/>
      <w:r>
        <w:rPr>
          <w:i/>
        </w:rPr>
        <w:t>Gladwell</w:t>
      </w:r>
      <w:proofErr w:type="spellEnd"/>
      <w:r>
        <w:rPr>
          <w:i/>
        </w:rPr>
        <w:t xml:space="preserve"> Gov’t </w:t>
      </w:r>
      <w:proofErr w:type="spellStart"/>
      <w:r>
        <w:rPr>
          <w:i/>
        </w:rPr>
        <w:t>Servs</w:t>
      </w:r>
      <w:proofErr w:type="spellEnd"/>
      <w:proofErr w:type="gramStart"/>
      <w:r>
        <w:rPr>
          <w:i/>
        </w:rPr>
        <w:t>.,</w:t>
      </w:r>
      <w:proofErr w:type="gramEnd"/>
      <w:r>
        <w:rPr>
          <w:i/>
        </w:rPr>
        <w:t xml:space="preserve"> Inc. v. </w:t>
      </w:r>
      <w:proofErr w:type="spellStart"/>
      <w:r>
        <w:rPr>
          <w:i/>
        </w:rPr>
        <w:t>Cnty</w:t>
      </w:r>
      <w:proofErr w:type="spellEnd"/>
      <w:r>
        <w:rPr>
          <w:i/>
        </w:rPr>
        <w:t xml:space="preserve">. </w:t>
      </w:r>
      <w:proofErr w:type="gramStart"/>
      <w:r>
        <w:rPr>
          <w:i/>
        </w:rPr>
        <w:t>Of Marin,</w:t>
      </w:r>
      <w:r>
        <w:t xml:space="preserve"> 265 F. </w:t>
      </w:r>
      <w:proofErr w:type="spellStart"/>
      <w:r>
        <w:t>App’x</w:t>
      </w:r>
      <w:proofErr w:type="spellEnd"/>
      <w:r>
        <w:t xml:space="preserve"> 624, 625-26 (9</w:t>
      </w:r>
      <w:r w:rsidRPr="00A234A9">
        <w:rPr>
          <w:vertAlign w:val="superscript"/>
        </w:rPr>
        <w:t>th</w:t>
      </w:r>
      <w:r>
        <w:t xml:space="preserve"> Cir. 2007) which is premised on the fact that no contract existed before creation.</w:t>
      </w:r>
      <w:proofErr w:type="gramEnd"/>
      <w:r>
        <w:t xml:space="preserve">  The case at hand is once again distinguished on the facts since Nelson and Lime entered into an oral contract prior to creation of the screenplay.  </w:t>
      </w:r>
      <w:proofErr w:type="spellStart"/>
      <w:r w:rsidRPr="005051B5">
        <w:t>Compl</w:t>
      </w:r>
      <w:proofErr w:type="spellEnd"/>
      <w:r w:rsidRPr="005051B5">
        <w:t>.</w:t>
      </w:r>
      <w:r>
        <w:rPr>
          <w:i/>
        </w:rPr>
        <w:t xml:space="preserve"> </w:t>
      </w:r>
      <w:r>
        <w:rPr>
          <w:rFonts w:ascii="Calibri" w:hAnsi="Calibri" w:cs="Calibri"/>
        </w:rPr>
        <w:t>¶¶</w:t>
      </w:r>
      <w:r>
        <w:t xml:space="preserve"> 16-17.  The screenplay produced by Lime is not </w:t>
      </w:r>
      <w:proofErr w:type="gramStart"/>
      <w:r>
        <w:softHyphen/>
        <w:t>an</w:t>
      </w:r>
      <w:proofErr w:type="gramEnd"/>
      <w:r>
        <w:t xml:space="preserve"> example of the pre-existing work discussed in </w:t>
      </w:r>
      <w:proofErr w:type="spellStart"/>
      <w:r>
        <w:rPr>
          <w:i/>
        </w:rPr>
        <w:t>Gladwell</w:t>
      </w:r>
      <w:proofErr w:type="spellEnd"/>
      <w:r>
        <w:t xml:space="preserve"> because the actual agreement was formed in the meeting between Nelson and Lime and then committed to writing to satisfy the statutory requirement at a later date—an action which is not explicitly prohibited by the plain language of 17 U.S.C. </w:t>
      </w:r>
      <w:r>
        <w:rPr>
          <w:rFonts w:ascii="Calibri" w:hAnsi="Calibri" w:cs="Calibri"/>
        </w:rPr>
        <w:t>§</w:t>
      </w:r>
      <w:r>
        <w:t xml:space="preserve"> 101(2).</w:t>
      </w:r>
    </w:p>
    <w:p w14:paraId="1B0A8B80" w14:textId="77777777" w:rsidR="006E2E56" w:rsidRDefault="006E2E56" w:rsidP="00312207">
      <w:pPr>
        <w:spacing w:line="480" w:lineRule="auto"/>
      </w:pPr>
      <w:r>
        <w:tab/>
        <w:t>Therefore, the case law across circuits is consistent that when there is a pre-exis</w:t>
      </w:r>
      <w:r w:rsidR="001C1795">
        <w:t>ting oral agreement as there is</w:t>
      </w:r>
      <w:r>
        <w:t xml:space="preserve"> in the case at hand, the written agreement does not need to be executed prior to creation of the work.</w:t>
      </w:r>
    </w:p>
    <w:p w14:paraId="7E9663BF" w14:textId="77777777" w:rsidR="00DC0641" w:rsidRDefault="00DC0641" w:rsidP="00756518">
      <w:pPr>
        <w:spacing w:line="276" w:lineRule="auto"/>
        <w:rPr>
          <w:b/>
        </w:rPr>
      </w:pPr>
      <w:r>
        <w:rPr>
          <w:b/>
        </w:rPr>
        <w:t>D. The rule of lenity does not apply because no reasonable doubt persists about the statute’s intended interpretation</w:t>
      </w:r>
    </w:p>
    <w:p w14:paraId="6A7D83B4" w14:textId="77777777" w:rsidR="00DC0641" w:rsidRDefault="00DC0641" w:rsidP="00312207">
      <w:pPr>
        <w:spacing w:line="480" w:lineRule="auto"/>
      </w:pPr>
      <w:r>
        <w:tab/>
      </w:r>
      <w:r w:rsidR="005D6C99">
        <w:t xml:space="preserve">Defendants raise the issue of whether the rule of lenity applies.  It is important to consider a fairly high bar has been set for applying this rule: “The rule of lenity applies only if, after seizing everything from which aid can be </w:t>
      </w:r>
      <w:proofErr w:type="gramStart"/>
      <w:r w:rsidR="005D6C99">
        <w:t>derived,…we</w:t>
      </w:r>
      <w:proofErr w:type="gramEnd"/>
      <w:r w:rsidR="005D6C99">
        <w:t xml:space="preserve"> can make no more than a guess as to what Congress intended.”  </w:t>
      </w:r>
      <w:proofErr w:type="spellStart"/>
      <w:proofErr w:type="gramStart"/>
      <w:r w:rsidR="005D6C99">
        <w:rPr>
          <w:i/>
        </w:rPr>
        <w:t>Muscarello</w:t>
      </w:r>
      <w:proofErr w:type="spellEnd"/>
      <w:r w:rsidR="005D6C99">
        <w:rPr>
          <w:i/>
        </w:rPr>
        <w:t xml:space="preserve"> v. United States</w:t>
      </w:r>
      <w:r w:rsidR="005D6C99">
        <w:t>, 524 U.S. 125, 138 (1998).</w:t>
      </w:r>
      <w:proofErr w:type="gramEnd"/>
      <w:r w:rsidR="005D6C99">
        <w:t xml:space="preserve">  Invocation of the rule requires “a grievous ambiguity or uncertainty in the statute.”  </w:t>
      </w:r>
      <w:proofErr w:type="gramStart"/>
      <w:r w:rsidR="005D6C99">
        <w:rPr>
          <w:i/>
        </w:rPr>
        <w:t xml:space="preserve">Id. </w:t>
      </w:r>
      <w:r w:rsidR="005D6C99">
        <w:t>at 139.</w:t>
      </w:r>
      <w:proofErr w:type="gramEnd"/>
    </w:p>
    <w:p w14:paraId="6C329131" w14:textId="77777777" w:rsidR="005D6C99" w:rsidRPr="00756518" w:rsidRDefault="005D6C99" w:rsidP="00312207">
      <w:pPr>
        <w:spacing w:line="480" w:lineRule="auto"/>
      </w:pPr>
      <w:r>
        <w:tab/>
        <w:t xml:space="preserve">The case at hand does not meet this high bar.  First, the plain meaning of the statute is clear—no temporal requirement is included so none exists.  The simple lack of a temporal requirement does not create the “grievous ambiguity or uncertainty” necessary.  Second, there is extensive legislative history from the decade of debate in Congress over the Copyright Act.  Third, the body of case law is in agreement that when there is a prior oral agreement, as there is in this case, the written agreement can be executed after creation of the work.  Therefore, it is too </w:t>
      </w:r>
      <w:r>
        <w:lastRenderedPageBreak/>
        <w:t>much of a stretch to argue that, given the</w:t>
      </w:r>
      <w:r w:rsidR="000F1D17">
        <w:t xml:space="preserve"> number of</w:t>
      </w:r>
      <w:r>
        <w:t xml:space="preserve"> tools at the Court’s disposal, “we can make no more than a guess as to what Congress intended.”  </w:t>
      </w:r>
      <w:proofErr w:type="spellStart"/>
      <w:proofErr w:type="gramStart"/>
      <w:r>
        <w:rPr>
          <w:i/>
        </w:rPr>
        <w:t>Muscarello</w:t>
      </w:r>
      <w:proofErr w:type="spellEnd"/>
      <w:r w:rsidR="00756518">
        <w:t>, 524 U.S. at 138.</w:t>
      </w:r>
      <w:proofErr w:type="gramEnd"/>
      <w:r w:rsidR="00756518">
        <w:t xml:space="preserve">  For these reasons, the Court should not apply the rule of lenity to the case at hand.</w:t>
      </w:r>
    </w:p>
    <w:p w14:paraId="6AF8E7DB" w14:textId="77777777" w:rsidR="009F1406" w:rsidRDefault="00E34B4F" w:rsidP="00E34B4F">
      <w:pPr>
        <w:spacing w:line="480" w:lineRule="auto"/>
        <w:jc w:val="center"/>
        <w:rPr>
          <w:b/>
          <w:u w:val="single"/>
        </w:rPr>
      </w:pPr>
      <w:r>
        <w:rPr>
          <w:b/>
          <w:u w:val="single"/>
        </w:rPr>
        <w:t>CONCLUSION</w:t>
      </w:r>
    </w:p>
    <w:p w14:paraId="69E39B7E" w14:textId="77777777" w:rsidR="00E34B4F" w:rsidRDefault="00E34B4F" w:rsidP="00E34B4F">
      <w:pPr>
        <w:spacing w:line="480" w:lineRule="auto"/>
      </w:pPr>
      <w:r>
        <w:tab/>
        <w:t>A valid work-made-for</w:t>
      </w:r>
      <w:r w:rsidR="00562449">
        <w:t>-hire agreement exists between O</w:t>
      </w:r>
      <w:r>
        <w:t>GS TV and Defendant Lime</w:t>
      </w:r>
      <w:r w:rsidR="00562449">
        <w:t xml:space="preserve"> even though the written agreement was signed after the work was created</w:t>
      </w:r>
      <w:r>
        <w:t>.  The plain language of the Copyright Act in 17 U.S.C. § 101(2) requires a written agreement between the two parties to establish a work made for hire agreement, but it does not include a temporal requirement.  In addition, the relevant le</w:t>
      </w:r>
      <w:r w:rsidR="001C1795">
        <w:t>gislative history indicates</w:t>
      </w:r>
      <w:r>
        <w:t xml:space="preserve"> Congress never intended to require the written agreement precede creation of the work.  Finally, the case law is consistent: when the parties unanimously agree orally </w:t>
      </w:r>
      <w:r w:rsidR="00562449">
        <w:t xml:space="preserve">prior to creation </w:t>
      </w:r>
      <w:r>
        <w:t>that it is a work made for hi</w:t>
      </w:r>
      <w:r w:rsidR="00562449">
        <w:t>re</w:t>
      </w:r>
      <w:r>
        <w:t>, the agreement is valid even if the written agreement is signed after creation begins.</w:t>
      </w:r>
    </w:p>
    <w:p w14:paraId="5BD11002" w14:textId="77777777" w:rsidR="00E34B4F" w:rsidRDefault="00E34B4F" w:rsidP="00E34B4F">
      <w:pPr>
        <w:spacing w:line="480" w:lineRule="auto"/>
      </w:pPr>
      <w:r>
        <w:tab/>
        <w:t>For all these reasons, the Court should deny Defendant’s motion to dismiss.</w:t>
      </w:r>
    </w:p>
    <w:p w14:paraId="7E5FF164" w14:textId="77777777" w:rsidR="00E34B4F" w:rsidRDefault="00E34B4F" w:rsidP="00E34B4F">
      <w:pPr>
        <w:spacing w:line="480" w:lineRule="auto"/>
      </w:pPr>
    </w:p>
    <w:p w14:paraId="41BC9345" w14:textId="77777777" w:rsidR="00E34B4F" w:rsidRDefault="001C1795" w:rsidP="002E6E38">
      <w:pPr>
        <w:spacing w:line="276" w:lineRule="auto"/>
      </w:pPr>
      <w:r>
        <w:t>Date: March 21</w:t>
      </w:r>
      <w:r w:rsidR="00E34B4F">
        <w:t>, 2012</w:t>
      </w:r>
      <w:r w:rsidR="00E34B4F">
        <w:tab/>
      </w:r>
      <w:r w:rsidR="00E34B4F">
        <w:tab/>
      </w:r>
      <w:r w:rsidR="00E34B4F">
        <w:tab/>
      </w:r>
      <w:r w:rsidR="00E34B4F">
        <w:tab/>
      </w:r>
      <w:r w:rsidR="00E34B4F">
        <w:tab/>
      </w:r>
      <w:r>
        <w:t xml:space="preserve">            </w:t>
      </w:r>
      <w:r w:rsidR="00E34B4F">
        <w:t>______________________________</w:t>
      </w:r>
      <w:r w:rsidR="00E34B4F">
        <w:br/>
      </w:r>
      <w:r w:rsidR="00E34B4F">
        <w:tab/>
      </w:r>
      <w:r w:rsidR="00E34B4F">
        <w:tab/>
      </w:r>
      <w:r w:rsidR="00E34B4F">
        <w:tab/>
      </w:r>
      <w:r w:rsidR="00E34B4F">
        <w:tab/>
      </w:r>
      <w:r w:rsidR="00E34B4F">
        <w:tab/>
      </w:r>
      <w:r w:rsidR="00E34B4F">
        <w:tab/>
      </w:r>
      <w:r w:rsidR="00E34B4F">
        <w:tab/>
      </w:r>
      <w:r w:rsidR="00E34B4F">
        <w:tab/>
      </w:r>
      <w:r w:rsidR="002E6E38">
        <w:rPr>
          <w:szCs w:val="24"/>
        </w:rPr>
        <w:t>&lt;redacted&gt;&lt;/redacted&gt;</w:t>
      </w:r>
    </w:p>
    <w:p w14:paraId="7A6AA756" w14:textId="77777777" w:rsidR="00CC6BF4" w:rsidRDefault="00CC6BF4" w:rsidP="00E34B4F">
      <w:pPr>
        <w:spacing w:line="276" w:lineRule="auto"/>
      </w:pPr>
    </w:p>
    <w:p w14:paraId="68A2964F" w14:textId="77777777" w:rsidR="00CC6BF4" w:rsidRDefault="00CC6BF4" w:rsidP="00E34B4F">
      <w:pPr>
        <w:spacing w:line="276" w:lineRule="auto"/>
        <w:rPr>
          <w:i/>
        </w:rPr>
      </w:pPr>
      <w:r>
        <w:tab/>
      </w:r>
      <w:r>
        <w:tab/>
      </w:r>
      <w:r>
        <w:tab/>
      </w:r>
      <w:r>
        <w:tab/>
      </w:r>
      <w:r>
        <w:tab/>
      </w:r>
      <w:r>
        <w:tab/>
      </w:r>
      <w:r>
        <w:tab/>
      </w:r>
      <w:r>
        <w:tab/>
      </w:r>
      <w:r>
        <w:rPr>
          <w:i/>
        </w:rPr>
        <w:t>Attorney for Plaintiff</w:t>
      </w:r>
    </w:p>
    <w:p w14:paraId="406D4F82" w14:textId="77777777" w:rsidR="00DF48EF" w:rsidRDefault="00DF48EF">
      <w:pPr>
        <w:widowControl/>
        <w:spacing w:after="200" w:line="276" w:lineRule="auto"/>
        <w:rPr>
          <w:i/>
        </w:rPr>
      </w:pPr>
      <w:r>
        <w:rPr>
          <w:i/>
        </w:rPr>
        <w:br w:type="page"/>
      </w:r>
    </w:p>
    <w:p w14:paraId="3C8FFCE7" w14:textId="77777777" w:rsidR="00DF48EF" w:rsidRDefault="00DF48EF" w:rsidP="00DF48EF">
      <w:pPr>
        <w:jc w:val="center"/>
        <w:rPr>
          <w:b/>
        </w:rPr>
      </w:pPr>
      <w:r>
        <w:rPr>
          <w:b/>
        </w:rPr>
        <w:lastRenderedPageBreak/>
        <w:t>UNITED STATES DISTRICT COURT</w:t>
      </w:r>
    </w:p>
    <w:p w14:paraId="7AE5F91D" w14:textId="77777777" w:rsidR="00DF48EF" w:rsidRDefault="00DF48EF" w:rsidP="00DF48EF">
      <w:pPr>
        <w:jc w:val="center"/>
        <w:rPr>
          <w:b/>
        </w:rPr>
      </w:pPr>
      <w:r>
        <w:rPr>
          <w:b/>
        </w:rPr>
        <w:t>DISTRICT OF MOOT</w:t>
      </w:r>
    </w:p>
    <w:p w14:paraId="6392CD83" w14:textId="77777777" w:rsidR="00DF48EF" w:rsidRDefault="00DF48EF" w:rsidP="00DF48EF">
      <w:pPr>
        <w:jc w:val="center"/>
        <w:rPr>
          <w:b/>
        </w:rPr>
      </w:pPr>
      <w:r>
        <w:rPr>
          <w:b/>
        </w:rPr>
        <w:t>THIRD DIVISION</w:t>
      </w:r>
    </w:p>
    <w:p w14:paraId="11E2FDB9" w14:textId="77777777" w:rsidR="00DF48EF" w:rsidRDefault="00DF48EF" w:rsidP="00DF48EF">
      <w:pPr>
        <w:jc w:val="center"/>
        <w:rPr>
          <w:b/>
        </w:rPr>
      </w:pPr>
    </w:p>
    <w:tbl>
      <w:tblPr>
        <w:tblW w:w="0" w:type="auto"/>
        <w:tblLayout w:type="fixed"/>
        <w:tblLook w:val="0000" w:firstRow="0" w:lastRow="0" w:firstColumn="0" w:lastColumn="0" w:noHBand="0" w:noVBand="0"/>
      </w:tblPr>
      <w:tblGrid>
        <w:gridCol w:w="4248"/>
        <w:gridCol w:w="4608"/>
      </w:tblGrid>
      <w:tr w:rsidR="00DF48EF" w14:paraId="559E7042" w14:textId="77777777" w:rsidTr="00C33CBF">
        <w:tc>
          <w:tcPr>
            <w:tcW w:w="4248" w:type="dxa"/>
          </w:tcPr>
          <w:p w14:paraId="4C2C6199" w14:textId="77777777" w:rsidR="00DF48EF" w:rsidRDefault="00DF48EF" w:rsidP="00C33CBF">
            <w:pPr>
              <w:pStyle w:val="Footer"/>
              <w:widowControl w:val="0"/>
              <w:tabs>
                <w:tab w:val="clear" w:pos="4320"/>
                <w:tab w:val="clear" w:pos="8640"/>
              </w:tabs>
              <w:rPr>
                <w:snapToGrid w:val="0"/>
              </w:rPr>
            </w:pPr>
            <w:r>
              <w:rPr>
                <w:snapToGrid w:val="0"/>
              </w:rPr>
              <w:t xml:space="preserve">OGS TV, Inc.,         </w:t>
            </w:r>
          </w:p>
          <w:p w14:paraId="5DA8F7AF" w14:textId="77777777" w:rsidR="00DF48EF" w:rsidRDefault="00DF48EF" w:rsidP="00C33CBF">
            <w:pPr>
              <w:pStyle w:val="Footer"/>
              <w:widowControl w:val="0"/>
              <w:tabs>
                <w:tab w:val="clear" w:pos="4320"/>
                <w:tab w:val="clear" w:pos="8640"/>
              </w:tabs>
              <w:rPr>
                <w:snapToGrid w:val="0"/>
              </w:rPr>
            </w:pPr>
            <w:r>
              <w:rPr>
                <w:snapToGrid w:val="0"/>
              </w:rPr>
              <w:t xml:space="preserve">                          Plaintiff,</w:t>
            </w:r>
          </w:p>
        </w:tc>
        <w:tc>
          <w:tcPr>
            <w:tcW w:w="4608" w:type="dxa"/>
          </w:tcPr>
          <w:p w14:paraId="3632CAE4" w14:textId="77777777" w:rsidR="00DF48EF" w:rsidRDefault="00DF48EF" w:rsidP="00C33CBF">
            <w:pPr>
              <w:pStyle w:val="Footer"/>
              <w:widowControl w:val="0"/>
              <w:tabs>
                <w:tab w:val="clear" w:pos="4320"/>
                <w:tab w:val="clear" w:pos="8640"/>
              </w:tabs>
              <w:rPr>
                <w:snapToGrid w:val="0"/>
              </w:rPr>
            </w:pPr>
            <w:r>
              <w:rPr>
                <w:snapToGrid w:val="0"/>
              </w:rPr>
              <w:t xml:space="preserve">               Court File No. 27-CV-12-1234</w:t>
            </w:r>
          </w:p>
        </w:tc>
      </w:tr>
      <w:tr w:rsidR="00DF48EF" w14:paraId="45409C89" w14:textId="77777777" w:rsidTr="00C33CBF">
        <w:tc>
          <w:tcPr>
            <w:tcW w:w="4248" w:type="dxa"/>
          </w:tcPr>
          <w:p w14:paraId="3A456F3D" w14:textId="77777777" w:rsidR="00DF48EF" w:rsidRDefault="00DF48EF" w:rsidP="00C33CBF">
            <w:pPr>
              <w:pStyle w:val="Footer"/>
              <w:widowControl w:val="0"/>
              <w:tabs>
                <w:tab w:val="clear" w:pos="4320"/>
                <w:tab w:val="clear" w:pos="8640"/>
              </w:tabs>
              <w:rPr>
                <w:snapToGrid w:val="0"/>
              </w:rPr>
            </w:pPr>
          </w:p>
          <w:p w14:paraId="14C95A25" w14:textId="77777777" w:rsidR="00DF48EF" w:rsidRDefault="00DF48EF" w:rsidP="00C33CBF">
            <w:pPr>
              <w:pStyle w:val="Footer"/>
              <w:widowControl w:val="0"/>
              <w:tabs>
                <w:tab w:val="clear" w:pos="4320"/>
                <w:tab w:val="clear" w:pos="8640"/>
              </w:tabs>
              <w:rPr>
                <w:snapToGrid w:val="0"/>
              </w:rPr>
            </w:pPr>
            <w:r>
              <w:rPr>
                <w:snapToGrid w:val="0"/>
              </w:rPr>
              <w:t>v.</w:t>
            </w:r>
          </w:p>
        </w:tc>
        <w:tc>
          <w:tcPr>
            <w:tcW w:w="4608" w:type="dxa"/>
          </w:tcPr>
          <w:p w14:paraId="0B93EEE6" w14:textId="77777777" w:rsidR="00DF48EF" w:rsidRDefault="00DF48EF" w:rsidP="00C33CBF">
            <w:r>
              <w:t xml:space="preserve">               [PROPOSED] ORDER</w:t>
            </w:r>
          </w:p>
        </w:tc>
      </w:tr>
      <w:tr w:rsidR="00DF48EF" w14:paraId="73EB3B06" w14:textId="77777777" w:rsidTr="00C33CBF">
        <w:tc>
          <w:tcPr>
            <w:tcW w:w="4248" w:type="dxa"/>
          </w:tcPr>
          <w:p w14:paraId="5AC20956" w14:textId="77777777" w:rsidR="00DF48EF" w:rsidRDefault="00DF48EF" w:rsidP="00C33CBF">
            <w:pPr>
              <w:pStyle w:val="Footer"/>
              <w:widowControl w:val="0"/>
              <w:tabs>
                <w:tab w:val="clear" w:pos="4320"/>
                <w:tab w:val="clear" w:pos="8640"/>
              </w:tabs>
              <w:rPr>
                <w:snapToGrid w:val="0"/>
              </w:rPr>
            </w:pPr>
          </w:p>
          <w:p w14:paraId="60ED12B7" w14:textId="77777777" w:rsidR="00DF48EF" w:rsidRDefault="00DF48EF" w:rsidP="00C33CBF">
            <w:pPr>
              <w:pStyle w:val="Footer"/>
              <w:widowControl w:val="0"/>
              <w:tabs>
                <w:tab w:val="clear" w:pos="4320"/>
                <w:tab w:val="clear" w:pos="8640"/>
              </w:tabs>
              <w:rPr>
                <w:snapToGrid w:val="0"/>
              </w:rPr>
            </w:pPr>
            <w:r>
              <w:rPr>
                <w:snapToGrid w:val="0"/>
              </w:rPr>
              <w:t>Elizabeth Lime and Tiny TV, Inc.,</w:t>
            </w:r>
          </w:p>
          <w:p w14:paraId="01F3D498" w14:textId="77777777" w:rsidR="00DF48EF" w:rsidRDefault="00DF48EF" w:rsidP="00C33CBF">
            <w:pPr>
              <w:pStyle w:val="Footer"/>
              <w:widowControl w:val="0"/>
              <w:tabs>
                <w:tab w:val="clear" w:pos="4320"/>
                <w:tab w:val="clear" w:pos="8640"/>
              </w:tabs>
              <w:rPr>
                <w:snapToGrid w:val="0"/>
              </w:rPr>
            </w:pPr>
            <w:r>
              <w:rPr>
                <w:snapToGrid w:val="0"/>
              </w:rPr>
              <w:t xml:space="preserve">                        Defendants.</w:t>
            </w:r>
          </w:p>
        </w:tc>
        <w:tc>
          <w:tcPr>
            <w:tcW w:w="4608" w:type="dxa"/>
          </w:tcPr>
          <w:p w14:paraId="022F8418" w14:textId="77777777" w:rsidR="00DF48EF" w:rsidRDefault="00DF48EF" w:rsidP="00C33CBF"/>
        </w:tc>
      </w:tr>
    </w:tbl>
    <w:p w14:paraId="22444FC3" w14:textId="77777777" w:rsidR="00DF48EF" w:rsidRDefault="00DF48EF" w:rsidP="00DF48EF"/>
    <w:p w14:paraId="31B49E1E" w14:textId="77777777" w:rsidR="00DF48EF" w:rsidRDefault="00DF48EF" w:rsidP="00DF48EF">
      <w:pPr>
        <w:pBdr>
          <w:bottom w:val="single" w:sz="12" w:space="1" w:color="auto"/>
        </w:pBdr>
        <w:spacing w:line="480" w:lineRule="auto"/>
        <w:jc w:val="center"/>
        <w:rPr>
          <w:b/>
        </w:rPr>
      </w:pPr>
    </w:p>
    <w:p w14:paraId="7922BA2A" w14:textId="77777777" w:rsidR="00DF48EF" w:rsidRDefault="00DF48EF" w:rsidP="00DF48EF">
      <w:pPr>
        <w:spacing w:line="480" w:lineRule="auto"/>
      </w:pPr>
    </w:p>
    <w:p w14:paraId="444CD239" w14:textId="77777777" w:rsidR="00DF48EF" w:rsidRPr="000F1D17" w:rsidRDefault="00DF48EF" w:rsidP="00DF48EF">
      <w:pPr>
        <w:autoSpaceDE w:val="0"/>
        <w:autoSpaceDN w:val="0"/>
        <w:adjustRightInd w:val="0"/>
      </w:pPr>
      <w:r w:rsidRPr="000F1D17">
        <w:t>On April 2, 2012, this Court held a hearing related to Defendant’s motion to dismiss pursuant to Federal</w:t>
      </w:r>
      <w:r w:rsidR="000F1D17" w:rsidRPr="000F1D17">
        <w:t xml:space="preserve"> Rule of Civil Procedure 12(c</w:t>
      </w:r>
      <w:r w:rsidRPr="000F1D17">
        <w:t xml:space="preserve">).  </w:t>
      </w:r>
      <w:r w:rsidR="002E6E38">
        <w:rPr>
          <w:szCs w:val="24"/>
        </w:rPr>
        <w:t>&lt;</w:t>
      </w:r>
      <w:proofErr w:type="gramStart"/>
      <w:r w:rsidR="002E6E38">
        <w:rPr>
          <w:szCs w:val="24"/>
        </w:rPr>
        <w:t>redacted</w:t>
      </w:r>
      <w:proofErr w:type="gramEnd"/>
      <w:r w:rsidR="002E6E38">
        <w:rPr>
          <w:szCs w:val="24"/>
        </w:rPr>
        <w:t>&gt;&lt;/redacted&gt;</w:t>
      </w:r>
      <w:r w:rsidR="002E6E38">
        <w:rPr>
          <w:szCs w:val="24"/>
        </w:rPr>
        <w:t xml:space="preserve"> </w:t>
      </w:r>
      <w:bookmarkStart w:id="0" w:name="_GoBack"/>
      <w:bookmarkEnd w:id="0"/>
      <w:r w:rsidRPr="000F1D17">
        <w:t xml:space="preserve">appeared on behalf of the Plaintiff.  </w:t>
      </w:r>
      <w:r w:rsidR="002E6E38">
        <w:rPr>
          <w:szCs w:val="24"/>
        </w:rPr>
        <w:t>&lt;</w:t>
      </w:r>
      <w:proofErr w:type="gramStart"/>
      <w:r w:rsidR="002E6E38">
        <w:rPr>
          <w:szCs w:val="24"/>
        </w:rPr>
        <w:t>redacted</w:t>
      </w:r>
      <w:proofErr w:type="gramEnd"/>
      <w:r w:rsidR="002E6E38">
        <w:rPr>
          <w:szCs w:val="24"/>
        </w:rPr>
        <w:t>&gt;&lt;/redacted&gt;</w:t>
      </w:r>
      <w:r w:rsidR="002E6E38">
        <w:rPr>
          <w:szCs w:val="24"/>
        </w:rPr>
        <w:t xml:space="preserve"> </w:t>
      </w:r>
      <w:r w:rsidRPr="000F1D17">
        <w:t>appeared on behalf of the Defendants.</w:t>
      </w:r>
    </w:p>
    <w:p w14:paraId="52299D03" w14:textId="77777777" w:rsidR="00DF48EF" w:rsidRPr="000F1D17" w:rsidRDefault="00DF48EF" w:rsidP="00DF48EF">
      <w:pPr>
        <w:autoSpaceDE w:val="0"/>
        <w:autoSpaceDN w:val="0"/>
        <w:adjustRightInd w:val="0"/>
      </w:pPr>
    </w:p>
    <w:p w14:paraId="217960CC" w14:textId="77777777" w:rsidR="00DF48EF" w:rsidRPr="000F1D17" w:rsidRDefault="00DF48EF" w:rsidP="00DF48EF">
      <w:pPr>
        <w:autoSpaceDE w:val="0"/>
        <w:autoSpaceDN w:val="0"/>
        <w:adjustRightInd w:val="0"/>
      </w:pPr>
      <w:r w:rsidRPr="000F1D17">
        <w:t>Based upon the arguments as well as the underlying memoranda and file, this Court herby rules as follows:</w:t>
      </w:r>
    </w:p>
    <w:p w14:paraId="48832A61" w14:textId="77777777" w:rsidR="00DF48EF" w:rsidRPr="000F1D17" w:rsidRDefault="00DF48EF" w:rsidP="00DF48EF">
      <w:pPr>
        <w:autoSpaceDE w:val="0"/>
        <w:autoSpaceDN w:val="0"/>
        <w:adjustRightInd w:val="0"/>
      </w:pPr>
    </w:p>
    <w:p w14:paraId="6AFDB4E3" w14:textId="77777777" w:rsidR="00DF48EF" w:rsidRPr="000F1D17" w:rsidRDefault="00DF48EF" w:rsidP="00DF48EF">
      <w:pPr>
        <w:pStyle w:val="ListParagraph"/>
        <w:numPr>
          <w:ilvl w:val="0"/>
          <w:numId w:val="1"/>
        </w:numPr>
        <w:autoSpaceDE w:val="0"/>
        <w:autoSpaceDN w:val="0"/>
        <w:adjustRightInd w:val="0"/>
      </w:pPr>
      <w:r w:rsidRPr="000F1D17">
        <w:t>Defendant’s motion to dismiss pursuant to Federa</w:t>
      </w:r>
      <w:r w:rsidR="000F1D17">
        <w:t>l Rule of Civil Procedure 12©</w:t>
      </w:r>
      <w:r w:rsidRPr="000F1D17">
        <w:t xml:space="preserve"> is </w:t>
      </w:r>
      <w:r w:rsidRPr="000F1D17">
        <w:rPr>
          <w:b/>
        </w:rPr>
        <w:t>GRANTED.</w:t>
      </w:r>
    </w:p>
    <w:p w14:paraId="221146A7" w14:textId="77777777" w:rsidR="00DF48EF" w:rsidRPr="000F1D17" w:rsidRDefault="00DF48EF" w:rsidP="00DF48EF">
      <w:pPr>
        <w:pStyle w:val="ListParagraph"/>
        <w:autoSpaceDE w:val="0"/>
        <w:autoSpaceDN w:val="0"/>
        <w:adjustRightInd w:val="0"/>
      </w:pPr>
    </w:p>
    <w:p w14:paraId="0BD03496" w14:textId="77777777" w:rsidR="00DF48EF" w:rsidRPr="000F1D17" w:rsidRDefault="00DF48EF" w:rsidP="00DF48EF">
      <w:pPr>
        <w:autoSpaceDE w:val="0"/>
        <w:autoSpaceDN w:val="0"/>
        <w:adjustRightInd w:val="0"/>
      </w:pPr>
    </w:p>
    <w:tbl>
      <w:tblPr>
        <w:tblStyle w:val="TableGrid"/>
        <w:tblW w:w="0" w:type="auto"/>
        <w:tblLook w:val="04A0" w:firstRow="1" w:lastRow="0" w:firstColumn="1" w:lastColumn="0" w:noHBand="0" w:noVBand="1"/>
      </w:tblPr>
      <w:tblGrid>
        <w:gridCol w:w="4428"/>
        <w:gridCol w:w="4428"/>
      </w:tblGrid>
      <w:tr w:rsidR="00DF48EF" w:rsidRPr="000F1D17" w14:paraId="76FF7147" w14:textId="77777777" w:rsidTr="00C33CBF">
        <w:tc>
          <w:tcPr>
            <w:tcW w:w="4428" w:type="dxa"/>
            <w:tcBorders>
              <w:top w:val="nil"/>
              <w:left w:val="nil"/>
              <w:bottom w:val="nil"/>
              <w:right w:val="nil"/>
            </w:tcBorders>
          </w:tcPr>
          <w:p w14:paraId="4D7E0FA5" w14:textId="77777777" w:rsidR="00DF48EF" w:rsidRPr="000F1D17" w:rsidRDefault="00DF48EF" w:rsidP="001C1795">
            <w:pPr>
              <w:autoSpaceDE w:val="0"/>
              <w:autoSpaceDN w:val="0"/>
              <w:adjustRightInd w:val="0"/>
            </w:pPr>
            <w:r w:rsidRPr="000F1D17">
              <w:t>Dated</w:t>
            </w:r>
            <w:r w:rsidR="001C1795" w:rsidRPr="000F1D17">
              <w:t>:</w:t>
            </w:r>
            <w:r w:rsidRPr="000F1D17">
              <w:t xml:space="preserve"> </w:t>
            </w:r>
            <w:r w:rsidR="001C1795" w:rsidRPr="000F1D17">
              <w:t>March 21</w:t>
            </w:r>
            <w:r w:rsidRPr="000F1D17">
              <w:t>, 2012</w:t>
            </w:r>
          </w:p>
        </w:tc>
        <w:tc>
          <w:tcPr>
            <w:tcW w:w="4428" w:type="dxa"/>
            <w:tcBorders>
              <w:top w:val="nil"/>
              <w:left w:val="nil"/>
              <w:bottom w:val="nil"/>
              <w:right w:val="nil"/>
            </w:tcBorders>
          </w:tcPr>
          <w:p w14:paraId="782B0CC6" w14:textId="77777777" w:rsidR="00DF48EF" w:rsidRPr="000F1D17" w:rsidRDefault="00DF48EF" w:rsidP="00C33CBF">
            <w:pPr>
              <w:autoSpaceDE w:val="0"/>
              <w:autoSpaceDN w:val="0"/>
              <w:adjustRightInd w:val="0"/>
            </w:pPr>
          </w:p>
          <w:p w14:paraId="2695EDFC" w14:textId="77777777" w:rsidR="00DF48EF" w:rsidRPr="000F1D17" w:rsidRDefault="00DF48EF" w:rsidP="00C33CBF">
            <w:pPr>
              <w:autoSpaceDE w:val="0"/>
              <w:autoSpaceDN w:val="0"/>
              <w:adjustRightInd w:val="0"/>
            </w:pPr>
            <w:r w:rsidRPr="000F1D17">
              <w:t>___________________________________</w:t>
            </w:r>
          </w:p>
          <w:p w14:paraId="60D79F4E" w14:textId="77777777" w:rsidR="00DF48EF" w:rsidRPr="000F1D17" w:rsidRDefault="00DF48EF" w:rsidP="00C33CBF">
            <w:r w:rsidRPr="000F1D17">
              <w:t>Dirk Delaney</w:t>
            </w:r>
          </w:p>
          <w:p w14:paraId="4B076D78" w14:textId="77777777" w:rsidR="00DF48EF" w:rsidRPr="000F1D17" w:rsidRDefault="00DF48EF" w:rsidP="00C33CBF">
            <w:pPr>
              <w:autoSpaceDE w:val="0"/>
              <w:autoSpaceDN w:val="0"/>
              <w:adjustRightInd w:val="0"/>
            </w:pPr>
            <w:r w:rsidRPr="000F1D17">
              <w:t>District Court Judge</w:t>
            </w:r>
          </w:p>
        </w:tc>
      </w:tr>
    </w:tbl>
    <w:p w14:paraId="40A9A515" w14:textId="77777777" w:rsidR="00DF48EF" w:rsidRPr="00CC6BF4" w:rsidRDefault="00DF48EF" w:rsidP="00DF48EF">
      <w:pPr>
        <w:autoSpaceDE w:val="0"/>
        <w:autoSpaceDN w:val="0"/>
        <w:adjustRightInd w:val="0"/>
        <w:rPr>
          <w:i/>
        </w:rPr>
      </w:pPr>
    </w:p>
    <w:p w14:paraId="472EECDF" w14:textId="77777777" w:rsidR="00DF48EF" w:rsidRPr="00CC6BF4" w:rsidRDefault="00DF48EF" w:rsidP="00E34B4F">
      <w:pPr>
        <w:spacing w:line="276" w:lineRule="auto"/>
        <w:rPr>
          <w:i/>
        </w:rPr>
      </w:pPr>
    </w:p>
    <w:sectPr w:rsidR="00DF48EF" w:rsidRPr="00CC6BF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5725B" w14:textId="77777777" w:rsidR="00EF651F" w:rsidRDefault="00EF651F" w:rsidP="00554C92">
      <w:r>
        <w:separator/>
      </w:r>
    </w:p>
  </w:endnote>
  <w:endnote w:type="continuationSeparator" w:id="0">
    <w:p w14:paraId="17FBAA84" w14:textId="77777777" w:rsidR="00EF651F" w:rsidRDefault="00EF651F" w:rsidP="0055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802256"/>
      <w:docPartObj>
        <w:docPartGallery w:val="Page Numbers (Bottom of Page)"/>
        <w:docPartUnique/>
      </w:docPartObj>
    </w:sdtPr>
    <w:sdtEndPr>
      <w:rPr>
        <w:noProof/>
      </w:rPr>
    </w:sdtEndPr>
    <w:sdtContent>
      <w:p w14:paraId="41F6E7A9" w14:textId="77777777" w:rsidR="00554C92" w:rsidRDefault="00554C92">
        <w:pPr>
          <w:pStyle w:val="Footer"/>
          <w:jc w:val="right"/>
        </w:pPr>
        <w:r>
          <w:fldChar w:fldCharType="begin"/>
        </w:r>
        <w:r>
          <w:instrText xml:space="preserve"> PAGE   \* MERGEFORMAT </w:instrText>
        </w:r>
        <w:r>
          <w:fldChar w:fldCharType="separate"/>
        </w:r>
        <w:r w:rsidR="002E6E38">
          <w:rPr>
            <w:noProof/>
          </w:rPr>
          <w:t>12</w:t>
        </w:r>
        <w:r>
          <w:rPr>
            <w:noProof/>
          </w:rPr>
          <w:fldChar w:fldCharType="end"/>
        </w:r>
      </w:p>
    </w:sdtContent>
  </w:sdt>
  <w:p w14:paraId="38220F0E" w14:textId="77777777" w:rsidR="00554C92" w:rsidRDefault="00554C9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20379" w14:textId="77777777" w:rsidR="00EF651F" w:rsidRDefault="00EF651F" w:rsidP="00554C92">
      <w:r>
        <w:separator/>
      </w:r>
    </w:p>
  </w:footnote>
  <w:footnote w:type="continuationSeparator" w:id="0">
    <w:p w14:paraId="1A8EA44A" w14:textId="77777777" w:rsidR="00EF651F" w:rsidRDefault="00EF651F" w:rsidP="00554C9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C7C0B"/>
    <w:multiLevelType w:val="hybridMultilevel"/>
    <w:tmpl w:val="3E6AC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D97"/>
    <w:rsid w:val="000046EB"/>
    <w:rsid w:val="0002266A"/>
    <w:rsid w:val="00024840"/>
    <w:rsid w:val="0007647D"/>
    <w:rsid w:val="000C5D8F"/>
    <w:rsid w:val="000D24FC"/>
    <w:rsid w:val="000F1D17"/>
    <w:rsid w:val="000F44EC"/>
    <w:rsid w:val="000F5B49"/>
    <w:rsid w:val="00103E9B"/>
    <w:rsid w:val="001204C2"/>
    <w:rsid w:val="001221DD"/>
    <w:rsid w:val="00151DE4"/>
    <w:rsid w:val="0016507B"/>
    <w:rsid w:val="0017405A"/>
    <w:rsid w:val="00175986"/>
    <w:rsid w:val="001B1A60"/>
    <w:rsid w:val="001C0D97"/>
    <w:rsid w:val="001C1795"/>
    <w:rsid w:val="001F1050"/>
    <w:rsid w:val="001F2180"/>
    <w:rsid w:val="001F5353"/>
    <w:rsid w:val="001F73A7"/>
    <w:rsid w:val="00270822"/>
    <w:rsid w:val="00280B5B"/>
    <w:rsid w:val="0028176D"/>
    <w:rsid w:val="002D43DB"/>
    <w:rsid w:val="002E6E38"/>
    <w:rsid w:val="00304D1D"/>
    <w:rsid w:val="00312207"/>
    <w:rsid w:val="0033205E"/>
    <w:rsid w:val="00353AB3"/>
    <w:rsid w:val="00365576"/>
    <w:rsid w:val="00374264"/>
    <w:rsid w:val="00392FD3"/>
    <w:rsid w:val="003E60E6"/>
    <w:rsid w:val="00440455"/>
    <w:rsid w:val="00442962"/>
    <w:rsid w:val="00444560"/>
    <w:rsid w:val="00451E27"/>
    <w:rsid w:val="00457354"/>
    <w:rsid w:val="00494104"/>
    <w:rsid w:val="004962EB"/>
    <w:rsid w:val="004A1F71"/>
    <w:rsid w:val="004A3910"/>
    <w:rsid w:val="004C1ED0"/>
    <w:rsid w:val="004E6022"/>
    <w:rsid w:val="004F552E"/>
    <w:rsid w:val="00501C7C"/>
    <w:rsid w:val="005051B5"/>
    <w:rsid w:val="0050785D"/>
    <w:rsid w:val="0051407E"/>
    <w:rsid w:val="00535A3B"/>
    <w:rsid w:val="00554C92"/>
    <w:rsid w:val="00562449"/>
    <w:rsid w:val="00587E9E"/>
    <w:rsid w:val="005B157B"/>
    <w:rsid w:val="005B3C5B"/>
    <w:rsid w:val="005C3DC8"/>
    <w:rsid w:val="005D6C99"/>
    <w:rsid w:val="006044CF"/>
    <w:rsid w:val="006269C7"/>
    <w:rsid w:val="00635173"/>
    <w:rsid w:val="00636466"/>
    <w:rsid w:val="006C12F6"/>
    <w:rsid w:val="006C33B6"/>
    <w:rsid w:val="006E2E56"/>
    <w:rsid w:val="006E541F"/>
    <w:rsid w:val="00720325"/>
    <w:rsid w:val="00756518"/>
    <w:rsid w:val="0079751B"/>
    <w:rsid w:val="007D3C44"/>
    <w:rsid w:val="007E02B1"/>
    <w:rsid w:val="007E252D"/>
    <w:rsid w:val="007F480E"/>
    <w:rsid w:val="007F59B2"/>
    <w:rsid w:val="0082259F"/>
    <w:rsid w:val="008344C1"/>
    <w:rsid w:val="00843571"/>
    <w:rsid w:val="00867534"/>
    <w:rsid w:val="00877B94"/>
    <w:rsid w:val="008837EE"/>
    <w:rsid w:val="0089048A"/>
    <w:rsid w:val="008D39BA"/>
    <w:rsid w:val="008E61C1"/>
    <w:rsid w:val="008F546C"/>
    <w:rsid w:val="009024CD"/>
    <w:rsid w:val="0090726C"/>
    <w:rsid w:val="00914AE4"/>
    <w:rsid w:val="009248FF"/>
    <w:rsid w:val="00967BEF"/>
    <w:rsid w:val="00990038"/>
    <w:rsid w:val="009B7D4D"/>
    <w:rsid w:val="009E69EE"/>
    <w:rsid w:val="009F1013"/>
    <w:rsid w:val="009F1406"/>
    <w:rsid w:val="00A16A62"/>
    <w:rsid w:val="00A42F2C"/>
    <w:rsid w:val="00A72358"/>
    <w:rsid w:val="00A84DE8"/>
    <w:rsid w:val="00A967C5"/>
    <w:rsid w:val="00AB18F2"/>
    <w:rsid w:val="00AD1D6C"/>
    <w:rsid w:val="00B047FF"/>
    <w:rsid w:val="00B13005"/>
    <w:rsid w:val="00B16E69"/>
    <w:rsid w:val="00B33B39"/>
    <w:rsid w:val="00B4307A"/>
    <w:rsid w:val="00B705A5"/>
    <w:rsid w:val="00C2578B"/>
    <w:rsid w:val="00C931AD"/>
    <w:rsid w:val="00CA1095"/>
    <w:rsid w:val="00CB78F4"/>
    <w:rsid w:val="00CC6BF4"/>
    <w:rsid w:val="00CD7398"/>
    <w:rsid w:val="00CF0E9E"/>
    <w:rsid w:val="00D02B3C"/>
    <w:rsid w:val="00D4668D"/>
    <w:rsid w:val="00D52EC8"/>
    <w:rsid w:val="00D64D21"/>
    <w:rsid w:val="00D819F1"/>
    <w:rsid w:val="00DC0641"/>
    <w:rsid w:val="00DD580E"/>
    <w:rsid w:val="00DE6B1E"/>
    <w:rsid w:val="00DF48EF"/>
    <w:rsid w:val="00E27F34"/>
    <w:rsid w:val="00E34B4F"/>
    <w:rsid w:val="00E42EDC"/>
    <w:rsid w:val="00E7358C"/>
    <w:rsid w:val="00E820CC"/>
    <w:rsid w:val="00EA2538"/>
    <w:rsid w:val="00EF2535"/>
    <w:rsid w:val="00EF651F"/>
    <w:rsid w:val="00F04574"/>
    <w:rsid w:val="00F0676D"/>
    <w:rsid w:val="00F119FC"/>
    <w:rsid w:val="00F241A7"/>
    <w:rsid w:val="00F241CC"/>
    <w:rsid w:val="00F36EE6"/>
    <w:rsid w:val="00F40012"/>
    <w:rsid w:val="00F530AE"/>
    <w:rsid w:val="00F732EF"/>
    <w:rsid w:val="00F904DA"/>
    <w:rsid w:val="00F922EF"/>
    <w:rsid w:val="00FE0234"/>
    <w:rsid w:val="00FE27AA"/>
    <w:rsid w:val="00FE6E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7195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D97"/>
    <w:pPr>
      <w:widowControl w:val="0"/>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C0D97"/>
    <w:pPr>
      <w:widowControl/>
      <w:tabs>
        <w:tab w:val="center" w:pos="4320"/>
        <w:tab w:val="right" w:pos="8640"/>
      </w:tabs>
    </w:pPr>
    <w:rPr>
      <w:snapToGrid/>
    </w:rPr>
  </w:style>
  <w:style w:type="character" w:customStyle="1" w:styleId="FooterChar">
    <w:name w:val="Footer Char"/>
    <w:basedOn w:val="DefaultParagraphFont"/>
    <w:link w:val="Footer"/>
    <w:uiPriority w:val="99"/>
    <w:rsid w:val="001C0D97"/>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7E252D"/>
    <w:rPr>
      <w:sz w:val="16"/>
      <w:szCs w:val="16"/>
    </w:rPr>
  </w:style>
  <w:style w:type="paragraph" w:styleId="CommentText">
    <w:name w:val="annotation text"/>
    <w:basedOn w:val="Normal"/>
    <w:link w:val="CommentTextChar"/>
    <w:uiPriority w:val="99"/>
    <w:semiHidden/>
    <w:unhideWhenUsed/>
    <w:rsid w:val="007E252D"/>
    <w:rPr>
      <w:sz w:val="20"/>
    </w:rPr>
  </w:style>
  <w:style w:type="character" w:customStyle="1" w:styleId="CommentTextChar">
    <w:name w:val="Comment Text Char"/>
    <w:basedOn w:val="DefaultParagraphFont"/>
    <w:link w:val="CommentText"/>
    <w:uiPriority w:val="99"/>
    <w:semiHidden/>
    <w:rsid w:val="007E252D"/>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7E252D"/>
    <w:rPr>
      <w:b/>
      <w:bCs/>
    </w:rPr>
  </w:style>
  <w:style w:type="character" w:customStyle="1" w:styleId="CommentSubjectChar">
    <w:name w:val="Comment Subject Char"/>
    <w:basedOn w:val="CommentTextChar"/>
    <w:link w:val="CommentSubject"/>
    <w:uiPriority w:val="99"/>
    <w:semiHidden/>
    <w:rsid w:val="007E252D"/>
    <w:rPr>
      <w:rFonts w:ascii="Times New Roman" w:eastAsia="Times New Roman" w:hAnsi="Times New Roman" w:cs="Times New Roman"/>
      <w:b/>
      <w:bCs/>
      <w:snapToGrid w:val="0"/>
      <w:sz w:val="20"/>
      <w:szCs w:val="20"/>
    </w:rPr>
  </w:style>
  <w:style w:type="paragraph" w:styleId="BalloonText">
    <w:name w:val="Balloon Text"/>
    <w:basedOn w:val="Normal"/>
    <w:link w:val="BalloonTextChar"/>
    <w:uiPriority w:val="99"/>
    <w:semiHidden/>
    <w:unhideWhenUsed/>
    <w:rsid w:val="007E252D"/>
    <w:rPr>
      <w:rFonts w:ascii="Tahoma" w:hAnsi="Tahoma" w:cs="Tahoma"/>
      <w:sz w:val="16"/>
      <w:szCs w:val="16"/>
    </w:rPr>
  </w:style>
  <w:style w:type="character" w:customStyle="1" w:styleId="BalloonTextChar">
    <w:name w:val="Balloon Text Char"/>
    <w:basedOn w:val="DefaultParagraphFont"/>
    <w:link w:val="BalloonText"/>
    <w:uiPriority w:val="99"/>
    <w:semiHidden/>
    <w:rsid w:val="007E252D"/>
    <w:rPr>
      <w:rFonts w:ascii="Tahoma" w:eastAsia="Times New Roman" w:hAnsi="Tahoma" w:cs="Tahoma"/>
      <w:snapToGrid w:val="0"/>
      <w:sz w:val="16"/>
      <w:szCs w:val="16"/>
    </w:rPr>
  </w:style>
  <w:style w:type="character" w:styleId="Strong">
    <w:name w:val="Strong"/>
    <w:basedOn w:val="DefaultParagraphFont"/>
    <w:uiPriority w:val="22"/>
    <w:qFormat/>
    <w:rsid w:val="00312207"/>
    <w:rPr>
      <w:b/>
      <w:bCs/>
    </w:rPr>
  </w:style>
  <w:style w:type="character" w:styleId="Hyperlink">
    <w:name w:val="Hyperlink"/>
    <w:basedOn w:val="DefaultParagraphFont"/>
    <w:uiPriority w:val="99"/>
    <w:unhideWhenUsed/>
    <w:rsid w:val="00CC6BF4"/>
    <w:rPr>
      <w:color w:val="0000FF" w:themeColor="hyperlink"/>
      <w:u w:val="single"/>
    </w:rPr>
  </w:style>
  <w:style w:type="table" w:styleId="TableGrid">
    <w:name w:val="Table Grid"/>
    <w:basedOn w:val="TableNormal"/>
    <w:rsid w:val="00DF48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48EF"/>
    <w:pPr>
      <w:widowControl/>
      <w:ind w:left="720"/>
      <w:contextualSpacing/>
    </w:pPr>
    <w:rPr>
      <w:snapToGrid/>
      <w:szCs w:val="24"/>
    </w:rPr>
  </w:style>
  <w:style w:type="paragraph" w:styleId="Header">
    <w:name w:val="header"/>
    <w:basedOn w:val="Normal"/>
    <w:link w:val="HeaderChar"/>
    <w:uiPriority w:val="99"/>
    <w:unhideWhenUsed/>
    <w:rsid w:val="00554C92"/>
    <w:pPr>
      <w:tabs>
        <w:tab w:val="center" w:pos="4680"/>
        <w:tab w:val="right" w:pos="9360"/>
      </w:tabs>
    </w:pPr>
  </w:style>
  <w:style w:type="character" w:customStyle="1" w:styleId="HeaderChar">
    <w:name w:val="Header Char"/>
    <w:basedOn w:val="DefaultParagraphFont"/>
    <w:link w:val="Header"/>
    <w:uiPriority w:val="99"/>
    <w:rsid w:val="00554C92"/>
    <w:rPr>
      <w:rFonts w:ascii="Times New Roman" w:eastAsia="Times New Roman" w:hAnsi="Times New Roman" w:cs="Times New Roman"/>
      <w:snapToGrid w:val="0"/>
      <w:sz w:val="24"/>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D97"/>
    <w:pPr>
      <w:widowControl w:val="0"/>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C0D97"/>
    <w:pPr>
      <w:widowControl/>
      <w:tabs>
        <w:tab w:val="center" w:pos="4320"/>
        <w:tab w:val="right" w:pos="8640"/>
      </w:tabs>
    </w:pPr>
    <w:rPr>
      <w:snapToGrid/>
    </w:rPr>
  </w:style>
  <w:style w:type="character" w:customStyle="1" w:styleId="FooterChar">
    <w:name w:val="Footer Char"/>
    <w:basedOn w:val="DefaultParagraphFont"/>
    <w:link w:val="Footer"/>
    <w:uiPriority w:val="99"/>
    <w:rsid w:val="001C0D97"/>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7E252D"/>
    <w:rPr>
      <w:sz w:val="16"/>
      <w:szCs w:val="16"/>
    </w:rPr>
  </w:style>
  <w:style w:type="paragraph" w:styleId="CommentText">
    <w:name w:val="annotation text"/>
    <w:basedOn w:val="Normal"/>
    <w:link w:val="CommentTextChar"/>
    <w:uiPriority w:val="99"/>
    <w:semiHidden/>
    <w:unhideWhenUsed/>
    <w:rsid w:val="007E252D"/>
    <w:rPr>
      <w:sz w:val="20"/>
    </w:rPr>
  </w:style>
  <w:style w:type="character" w:customStyle="1" w:styleId="CommentTextChar">
    <w:name w:val="Comment Text Char"/>
    <w:basedOn w:val="DefaultParagraphFont"/>
    <w:link w:val="CommentText"/>
    <w:uiPriority w:val="99"/>
    <w:semiHidden/>
    <w:rsid w:val="007E252D"/>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7E252D"/>
    <w:rPr>
      <w:b/>
      <w:bCs/>
    </w:rPr>
  </w:style>
  <w:style w:type="character" w:customStyle="1" w:styleId="CommentSubjectChar">
    <w:name w:val="Comment Subject Char"/>
    <w:basedOn w:val="CommentTextChar"/>
    <w:link w:val="CommentSubject"/>
    <w:uiPriority w:val="99"/>
    <w:semiHidden/>
    <w:rsid w:val="007E252D"/>
    <w:rPr>
      <w:rFonts w:ascii="Times New Roman" w:eastAsia="Times New Roman" w:hAnsi="Times New Roman" w:cs="Times New Roman"/>
      <w:b/>
      <w:bCs/>
      <w:snapToGrid w:val="0"/>
      <w:sz w:val="20"/>
      <w:szCs w:val="20"/>
    </w:rPr>
  </w:style>
  <w:style w:type="paragraph" w:styleId="BalloonText">
    <w:name w:val="Balloon Text"/>
    <w:basedOn w:val="Normal"/>
    <w:link w:val="BalloonTextChar"/>
    <w:uiPriority w:val="99"/>
    <w:semiHidden/>
    <w:unhideWhenUsed/>
    <w:rsid w:val="007E252D"/>
    <w:rPr>
      <w:rFonts w:ascii="Tahoma" w:hAnsi="Tahoma" w:cs="Tahoma"/>
      <w:sz w:val="16"/>
      <w:szCs w:val="16"/>
    </w:rPr>
  </w:style>
  <w:style w:type="character" w:customStyle="1" w:styleId="BalloonTextChar">
    <w:name w:val="Balloon Text Char"/>
    <w:basedOn w:val="DefaultParagraphFont"/>
    <w:link w:val="BalloonText"/>
    <w:uiPriority w:val="99"/>
    <w:semiHidden/>
    <w:rsid w:val="007E252D"/>
    <w:rPr>
      <w:rFonts w:ascii="Tahoma" w:eastAsia="Times New Roman" w:hAnsi="Tahoma" w:cs="Tahoma"/>
      <w:snapToGrid w:val="0"/>
      <w:sz w:val="16"/>
      <w:szCs w:val="16"/>
    </w:rPr>
  </w:style>
  <w:style w:type="character" w:styleId="Strong">
    <w:name w:val="Strong"/>
    <w:basedOn w:val="DefaultParagraphFont"/>
    <w:uiPriority w:val="22"/>
    <w:qFormat/>
    <w:rsid w:val="00312207"/>
    <w:rPr>
      <w:b/>
      <w:bCs/>
    </w:rPr>
  </w:style>
  <w:style w:type="character" w:styleId="Hyperlink">
    <w:name w:val="Hyperlink"/>
    <w:basedOn w:val="DefaultParagraphFont"/>
    <w:uiPriority w:val="99"/>
    <w:unhideWhenUsed/>
    <w:rsid w:val="00CC6BF4"/>
    <w:rPr>
      <w:color w:val="0000FF" w:themeColor="hyperlink"/>
      <w:u w:val="single"/>
    </w:rPr>
  </w:style>
  <w:style w:type="table" w:styleId="TableGrid">
    <w:name w:val="Table Grid"/>
    <w:basedOn w:val="TableNormal"/>
    <w:rsid w:val="00DF48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48EF"/>
    <w:pPr>
      <w:widowControl/>
      <w:ind w:left="720"/>
      <w:contextualSpacing/>
    </w:pPr>
    <w:rPr>
      <w:snapToGrid/>
      <w:szCs w:val="24"/>
    </w:rPr>
  </w:style>
  <w:style w:type="paragraph" w:styleId="Header">
    <w:name w:val="header"/>
    <w:basedOn w:val="Normal"/>
    <w:link w:val="HeaderChar"/>
    <w:uiPriority w:val="99"/>
    <w:unhideWhenUsed/>
    <w:rsid w:val="00554C92"/>
    <w:pPr>
      <w:tabs>
        <w:tab w:val="center" w:pos="4680"/>
        <w:tab w:val="right" w:pos="9360"/>
      </w:tabs>
    </w:pPr>
  </w:style>
  <w:style w:type="character" w:customStyle="1" w:styleId="HeaderChar">
    <w:name w:val="Header Char"/>
    <w:basedOn w:val="DefaultParagraphFont"/>
    <w:link w:val="Header"/>
    <w:uiPriority w:val="99"/>
    <w:rsid w:val="00554C92"/>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925481">
      <w:bodyDiv w:val="1"/>
      <w:marLeft w:val="0"/>
      <w:marRight w:val="0"/>
      <w:marTop w:val="0"/>
      <w:marBottom w:val="0"/>
      <w:divBdr>
        <w:top w:val="none" w:sz="0" w:space="0" w:color="auto"/>
        <w:left w:val="none" w:sz="0" w:space="0" w:color="auto"/>
        <w:bottom w:val="none" w:sz="0" w:space="0" w:color="auto"/>
        <w:right w:val="none" w:sz="0" w:space="0" w:color="auto"/>
      </w:divBdr>
      <w:divsChild>
        <w:div w:id="1396778802">
          <w:marLeft w:val="0"/>
          <w:marRight w:val="0"/>
          <w:marTop w:val="0"/>
          <w:marBottom w:val="0"/>
          <w:divBdr>
            <w:top w:val="none" w:sz="0" w:space="0" w:color="auto"/>
            <w:left w:val="none" w:sz="0" w:space="0" w:color="auto"/>
            <w:bottom w:val="none" w:sz="0" w:space="0" w:color="auto"/>
            <w:right w:val="none" w:sz="0" w:space="0" w:color="auto"/>
          </w:divBdr>
          <w:divsChild>
            <w:div w:id="493372435">
              <w:marLeft w:val="0"/>
              <w:marRight w:val="0"/>
              <w:marTop w:val="0"/>
              <w:marBottom w:val="0"/>
              <w:divBdr>
                <w:top w:val="none" w:sz="0" w:space="0" w:color="auto"/>
                <w:left w:val="none" w:sz="0" w:space="0" w:color="auto"/>
                <w:bottom w:val="none" w:sz="0" w:space="0" w:color="auto"/>
                <w:right w:val="none" w:sz="0" w:space="0" w:color="auto"/>
              </w:divBdr>
              <w:divsChild>
                <w:div w:id="192158366">
                  <w:marLeft w:val="0"/>
                  <w:marRight w:val="0"/>
                  <w:marTop w:val="0"/>
                  <w:marBottom w:val="0"/>
                  <w:divBdr>
                    <w:top w:val="none" w:sz="0" w:space="0" w:color="auto"/>
                    <w:left w:val="none" w:sz="0" w:space="0" w:color="auto"/>
                    <w:bottom w:val="none" w:sz="0" w:space="0" w:color="auto"/>
                    <w:right w:val="none" w:sz="0" w:space="0" w:color="auto"/>
                  </w:divBdr>
                </w:div>
              </w:divsChild>
            </w:div>
            <w:div w:id="592401636">
              <w:marLeft w:val="0"/>
              <w:marRight w:val="0"/>
              <w:marTop w:val="0"/>
              <w:marBottom w:val="0"/>
              <w:divBdr>
                <w:top w:val="none" w:sz="0" w:space="0" w:color="auto"/>
                <w:left w:val="none" w:sz="0" w:space="0" w:color="auto"/>
                <w:bottom w:val="none" w:sz="0" w:space="0" w:color="auto"/>
                <w:right w:val="none" w:sz="0" w:space="0" w:color="auto"/>
              </w:divBdr>
              <w:divsChild>
                <w:div w:id="784346796">
                  <w:marLeft w:val="0"/>
                  <w:marRight w:val="0"/>
                  <w:marTop w:val="0"/>
                  <w:marBottom w:val="0"/>
                  <w:divBdr>
                    <w:top w:val="none" w:sz="0" w:space="0" w:color="auto"/>
                    <w:left w:val="none" w:sz="0" w:space="0" w:color="auto"/>
                    <w:bottom w:val="none" w:sz="0" w:space="0" w:color="auto"/>
                    <w:right w:val="none" w:sz="0" w:space="0" w:color="auto"/>
                  </w:divBdr>
                </w:div>
              </w:divsChild>
            </w:div>
            <w:div w:id="1555583046">
              <w:marLeft w:val="0"/>
              <w:marRight w:val="0"/>
              <w:marTop w:val="0"/>
              <w:marBottom w:val="0"/>
              <w:divBdr>
                <w:top w:val="none" w:sz="0" w:space="0" w:color="auto"/>
                <w:left w:val="none" w:sz="0" w:space="0" w:color="auto"/>
                <w:bottom w:val="none" w:sz="0" w:space="0" w:color="auto"/>
                <w:right w:val="none" w:sz="0" w:space="0" w:color="auto"/>
              </w:divBdr>
              <w:divsChild>
                <w:div w:id="1385562141">
                  <w:marLeft w:val="0"/>
                  <w:marRight w:val="0"/>
                  <w:marTop w:val="0"/>
                  <w:marBottom w:val="0"/>
                  <w:divBdr>
                    <w:top w:val="none" w:sz="0" w:space="0" w:color="auto"/>
                    <w:left w:val="none" w:sz="0" w:space="0" w:color="auto"/>
                    <w:bottom w:val="none" w:sz="0" w:space="0" w:color="auto"/>
                    <w:right w:val="none" w:sz="0" w:space="0" w:color="auto"/>
                  </w:divBdr>
                </w:div>
              </w:divsChild>
            </w:div>
            <w:div w:id="1541434964">
              <w:marLeft w:val="0"/>
              <w:marRight w:val="0"/>
              <w:marTop w:val="0"/>
              <w:marBottom w:val="0"/>
              <w:divBdr>
                <w:top w:val="none" w:sz="0" w:space="0" w:color="auto"/>
                <w:left w:val="none" w:sz="0" w:space="0" w:color="auto"/>
                <w:bottom w:val="none" w:sz="0" w:space="0" w:color="auto"/>
                <w:right w:val="none" w:sz="0" w:space="0" w:color="auto"/>
              </w:divBdr>
              <w:divsChild>
                <w:div w:id="931938871">
                  <w:marLeft w:val="0"/>
                  <w:marRight w:val="0"/>
                  <w:marTop w:val="0"/>
                  <w:marBottom w:val="0"/>
                  <w:divBdr>
                    <w:top w:val="none" w:sz="0" w:space="0" w:color="auto"/>
                    <w:left w:val="none" w:sz="0" w:space="0" w:color="auto"/>
                    <w:bottom w:val="none" w:sz="0" w:space="0" w:color="auto"/>
                    <w:right w:val="none" w:sz="0" w:space="0" w:color="auto"/>
                  </w:divBdr>
                </w:div>
              </w:divsChild>
            </w:div>
            <w:div w:id="1383948132">
              <w:marLeft w:val="0"/>
              <w:marRight w:val="0"/>
              <w:marTop w:val="0"/>
              <w:marBottom w:val="0"/>
              <w:divBdr>
                <w:top w:val="none" w:sz="0" w:space="0" w:color="auto"/>
                <w:left w:val="none" w:sz="0" w:space="0" w:color="auto"/>
                <w:bottom w:val="none" w:sz="0" w:space="0" w:color="auto"/>
                <w:right w:val="none" w:sz="0" w:space="0" w:color="auto"/>
              </w:divBdr>
              <w:divsChild>
                <w:div w:id="933631433">
                  <w:marLeft w:val="0"/>
                  <w:marRight w:val="0"/>
                  <w:marTop w:val="0"/>
                  <w:marBottom w:val="0"/>
                  <w:divBdr>
                    <w:top w:val="none" w:sz="0" w:space="0" w:color="auto"/>
                    <w:left w:val="none" w:sz="0" w:space="0" w:color="auto"/>
                    <w:bottom w:val="none" w:sz="0" w:space="0" w:color="auto"/>
                    <w:right w:val="none" w:sz="0" w:space="0" w:color="auto"/>
                  </w:divBdr>
                </w:div>
              </w:divsChild>
            </w:div>
            <w:div w:id="71173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45A02-A83D-8C45-B890-3D91112E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5133</Words>
  <Characters>26487</Characters>
  <Application>Microsoft Macintosh Word</Application>
  <DocSecurity>0</DocSecurity>
  <Lines>456</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2012-04-11T01:52:00Z</dcterms:created>
  <dcterms:modified xsi:type="dcterms:W3CDTF">2012-06-01T20:59:00Z</dcterms:modified>
  <cp:category/>
</cp:coreProperties>
</file>